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97</w:t>
      </w:r>
    </w:p>
    <w:p>
      <w:r>
        <w:t>Bundesgericht (BGE), 1969-01-01, DE</w:t>
      </w:r>
    </w:p>
    <w:p>
      <w:r>
        <w:rPr>
          <w:b/>
        </w:rPr>
        <w:t xml:space="preserve">Quelle: </w:t>
      </w:r>
      <w:r>
        <w:t>https://mcp.opencaselaw.ch/entscheid/bge_BGE_95_IV_97</w:t>
      </w:r>
    </w:p>
    <w:p>
      <w:r>
        <w:t>FR: ATF 95 IV 97</w:t>
      </w:r>
    </w:p>
    <w:p>
      <w:r>
        <w:t>IT: DTF 95 IV 97</w:t>
      </w:r>
    </w:p>
    <w:p>
      <w:pPr>
        <w:pStyle w:val="Heading2"/>
      </w:pPr>
      <w:r>
        <w:t>Regeste</w:t>
      </w:r>
    </w:p>
    <w:p>
      <w:r>
        <w:t>Regeste Art. 91 Abs. 1 SVG, Art. 11 StGB. Die mit der Angetrunkenheit verbundene Verminderung der Zurechnungsfähigkeit setzt die in Art. 91 SVG angedrohte Strafe nicht herab.</w:t>
      </w:r>
    </w:p>
    <w:p>
      <w:r>
        <w:t>Regeste Art. 91 al. 1 LCR; art. 11 CP. La diminution de la responsabilité qui résulte de l'état du conducteur pris de boisson ne justifie pas une atténuation de la peine prévue à l'art. 91 LCR.</w:t>
      </w:r>
    </w:p>
    <w:p>
      <w:r>
        <w:t>Regesto Art. 91 cpv. 1 LCStr.; art. 11 CP. La diminuzione di responsabilità connessa allo stato di ebrietà non giustifica un'attenuazione della pena prevista dall'art. 91 LCStr.</w:t>
      </w:r>
    </w:p>
    <w:p>
      <w:pPr>
        <w:pStyle w:val="Heading2"/>
      </w:pPr>
      <w:r>
        <w:t>Erwägungen</w:t>
      </w:r>
    </w:p>
    <w:p>
      <w:r>
        <w:rPr>
          <w:b/>
        </w:rPr>
        <w:t>E. 2</w:t>
      </w:r>
    </w:p>
    <w:p>
      <w:r>
        <w:t>Der Beschwerdeführer rügt, das Obergericht des Kantons Zürich lasse das Verschulden des betrunkenen Fahrzeugführers linear und schematisch mit zunehmender Alkoholisierung ansteigen, während doch Trunkenheit gleichzeitig die Zurechnungsfähigkeit herabsetze. Damit will der Beschwerdeführer Art. 11 StGB auf den Tatbestand des Art. 91 Abs. 1 SVG zur Anwendung bringen. Das ist verfehlt. Unbestreitbar ist die Angetrunkenheit geeignet, die Zurechnungsfähigkeit des Täters im Sinne von Art. 11 StGB zu vermindern, indem sie das Bewusstsein beeinträchtigt und damit die Einsicht in die dadurch bewirkte Verkehrsgefährdung herabsetzt. Allein wenn das Gesetz die Angetrunkenheit um dieser Gefährdung willen unter Strafe stellt, so kann nicht die gleichzeitig mit ihr verbundene Verminderung der Zurechnungsfähigkeit die strafrechtliche Verantwortlichkeit herabsetzen. Durch die Strafmilderung würde sich Art. 91 Abs. 1 SVG um so mehr erübrigen, je mehr sein Tatbestand zuträfe; mit steigender Angetrunkenheit nähme BGE 95 IV 97 S. 99 die Strafe ab statt zu, wie es nach dem Sinn der Bestimmung unzweifelhaft der Fall sein soll (vgl. SCHULTZ, Die Strafbestimmungen des BG über den Strassenverkehr, S. 188).</w:t>
      </w:r>
    </w:p>
    <w:p>
      <w:r>
        <w:rPr>
          <w:b/>
        </w:rPr>
        <w:t>E. 3</w:t>
      </w:r>
    </w:p>
    <w:p>
      <w:r>
        <w:t>Bundesrecht hat die Vorinstanz auch nicht insofern verletzt, als sie die Strafe, welche das Bezirksgericht auf drei Monate Gefängnis bemessen hatte, nach Wegfall des Tatbestandes der Führerflucht nicht verringerte (vgl. BGE 80 IV 158 E. 8). Sie sah - wie sie im angefochtenen Entscheid ausdrücklich erklärt - deswegen davon ab, weil die Zurechnungsfähigkeit bei der Führerflucht erheblich herabgesetzt gewesen wäre und das weit überwiegende Verschulden ohnehin im Fahren in angetrunkenem Zustande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