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37</w:t>
      </w:r>
    </w:p>
    <w:p>
      <w:r>
        <w:t>Bundesgericht (BGE), 1969-01-01, DE</w:t>
      </w:r>
    </w:p>
    <w:p>
      <w:r>
        <w:rPr>
          <w:b/>
        </w:rPr>
        <w:t xml:space="preserve">Quelle: </w:t>
      </w:r>
      <w:r>
        <w:t>https://mcp.opencaselaw.ch/entscheid/bge_BGE_95_IV_37</w:t>
      </w:r>
    </w:p>
    <w:p>
      <w:r>
        <w:t>FR: ATF 95 IV 37</w:t>
      </w:r>
    </w:p>
    <w:p>
      <w:r>
        <w:t>IT: DTF 95 IV 37</w:t>
      </w:r>
    </w:p>
    <w:p>
      <w:pPr>
        <w:pStyle w:val="Heading2"/>
      </w:pPr>
      <w:r>
        <w:t>Regeste</w:t>
      </w:r>
    </w:p>
    <w:p>
      <w:r>
        <w:t>Regeste 1. Art. 350 Ziff. 1 Abs. 1 StGB. Wegen einer Tat verfolgt ist der Beschuldigte nur bis zur Beurteilung (Erw. 1). 2. Art. 349 Abs. 2 StGB. Mittäter sollen in der Regel am gleichen Ort verfolgt und beurteilt werden, gleichviel, ob sie alle am gleichen Ort gehandelt haben oder nicht und ob einer anderwärts strafbare Handlungen begangen habe, die mit schwererer Strafe bedroht sind als die in Mittäterschaft verübten. Abweichungen sind aus Gründen der Zweckmässigkeit zulässig (Erw. 2 und 3).</w:t>
      </w:r>
    </w:p>
    <w:p>
      <w:r>
        <w:t>Regeste 1. Art. 350 ch. 1 al. 1 CP. Un inculpé n'est poursuivi pour un acte que jusqu'au jugement (consid. 1). 2. Art. 349 al. 2 CP. Les coauteurs doivent, en principe, être poursuivis et jugés au même endroit, peu importe qu'ils aient ou non agi dans le même lieu et que l'un d'eux ait commis, ailleurs, des infractions punies d'une peine plus grave que les actes dont il est coauteur. Des dérogations sont admissibles pour des raisons d'opportunité (consid. 2 et 3).</w:t>
      </w:r>
    </w:p>
    <w:p>
      <w:r>
        <w:t>Regesto 1. Art. 350 num. 1 cpv. 1 CP. Per un'infrazione l'imputato non è perseguito che fino al giudizio (consid. 1). 2. Art. 349 cpv. 2 CP. I coautori devono, di regola, essere perseguiti e giudicati nel medesimo luogo; poco importa ch'essi abbiano o meno tutti agito nel medesimo luogo o che uno di loro abbia commesso altrove infrazioni punite con una pena più grave degli atti di cui è coautore. Deroghe sono ammissibili per motivi d'opportunità (consid. 2 e 3).</w:t>
      </w:r>
    </w:p>
    <w:p>
      <w:pPr>
        <w:pStyle w:val="Heading2"/>
      </w:pPr>
      <w:r>
        <w:t>Erwägungen</w:t>
      </w:r>
    </w:p>
    <w:p>
      <w:r>
        <w:rPr>
          <w:b/>
        </w:rPr>
        <w:t>E. 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(Art. 350 Ziff. 1. Abs. 1 StGB). Diese Bestimmung hätte allenfalls verlangt, dass Holzer für BGE 95 IV 37 S. 40 die im Kanton Aargau verübten strafbaren Handlungen im Kanton Solothurn verfolgt werde, da ihm dort eine mit schwererer Strafe bedrohte Tat, ein Raubversuch, vorgeworfen wurde. Heute stellt sich indessen die Frage, ob die Behörden des Kantons Solothurn zuständig gewesen wären, nicht mehr, da Holzer in diesem Kanton bereits beurteilt worden ist, also dort nicht mehr verfolgt wird (vgl. BGE 70 IV 93 ).</w:t>
      </w:r>
    </w:p>
    <w:p>
      <w:r>
        <w:rPr>
          <w:b/>
        </w:rPr>
        <w:t>E. 2</w:t>
      </w:r>
    </w:p>
    <w:p>
      <w:r>
        <w:t>Wenn an einer Tat mehrere als Mittäter beteiligt sind, müssen sie gemäss Art. 349 Abs. 2 StGB durch die Behörden des Ortes verfolgt werden, wo die Untersuchung zuerst angehoben wurde. Diese Bestimmung wurde für Mittäter erlassen, die nicht alle am gleichen Orte handelten ( BGE 70 IV 88 f., BGE 72 IV 194 ). Ihr Grundgedanke geht aber dahin, dass Mittäter grundsätzlich nicht an verschiedenen Orten verfolgt und beurteilt werden sollen. Wenn sie die Tat am gleichen Orte ausgeführt haben, ergibt sich die Einheit des Gerichtsstandes in der Regel schon aus Art. 346 Abs. 1 StGB . Ist einer der Mittäter ausserhalb des Ausführungsortes zu verfolgen, weil er anderwärts strafbare Handlungen begangen hat, die mit schwererer Strafe bedroht sind als die in Mittäterschaft verübten, so ist die Einheit des Gerichtsstandes für die Mittäter womöglich ebenfalls zu wahren ( BGE 72 IV 194 ), d.h. alle sind grundsätzlich ausserhalb des Ausführungsortes zu verfolgen, nämlich dort, wo der eine von ihnen die mit schwererer Strafe bedrohte Handlung begangen hat. Abweichungen sind im einzelnen Falle aus Gründen der Zweckmässigkeit zulässig, sei es, dass gemäss Art. 262 BStP die Einheit des Gerichtsstandes für die Mittäter geopfert wird, sei es, dass die Behörden sie wahren, aber in Anwendung des Art. 263 BStP die Zuständigkeit anders bestimmen, als Art. 350 Ziff. 1 StGB es verlangen würde.</w:t>
      </w:r>
    </w:p>
    <w:p>
      <w:r>
        <w:rPr>
          <w:b/>
        </w:rPr>
        <w:t>E. 3</w:t>
      </w:r>
    </w:p>
    <w:p>
      <w:r>
        <w:t>Die Behörden der Kantone Zürich und Aargau haben sich geeinigt, dass Bänziger für die in Muri verübten Vergehen im Kanton Zürich zu verfolgen und zu beurteilen sei, wo ihm ein Betrug vorgeworfen wird, der mit schwererer Strafe bedroht ist als die in Muri begangenen Taten. Keiner der beiden Kantone beantragt, dass Bänziger im Kanton Aargau zu verfolgen sei. Ein einheitlicher Gerichtsstand kann daher nur in der Weise bestimmt werden, dass die Behörden des Kantons Zürich zuständig erklärt werden, Holzer für die in Muri verübten strafbaren Handlungen mitzuverfolgen und zu beurteilen. Die Staatsanwaltschaft des Kantons Zürich macht keine BGE 95 IV 37 S. 41 Gründe geltend, die es ausnahmsweise rechtfertigen würden, den Gerichtsstand für die beiden Mittäter zu trennen. Sie geht - zu Unrecht - lediglich davon aus, die Trennung bilde die Regel, weil Art. 349 Abs. 2 StGB die Einheit des Gerichtsstandes nur bei Verschiedenheit der Ausführungsorte verlange. Es ist denn auch nicht zu ersehen, welche besonderen Umstände nahe legen würden, Holzer der aargauischen Gerichtsbarkeit zu unterstellen, während Bänziger im Kanton Zürich beurteilt wird. Dadurch würde die Abstimmung des einen Urteils auf das andere erschwert. Auch müssten die Behörden des Kantons Aargau mit der Beurteilung zuwarten, bis die Behörden des Kantons Zürich gegen Bänziger geurteilt hätten und ihnen die Akten zur Verfügung stellen würden. Fragen kann sich höchstens, ob der aargauische Gerichtsstand wenigstens für die von Holzer begangene Entwendung eines Motorfahrzeuges zum Gebrauch und für das Führen ohne Führerausweis beizubehalten sei. Das sind jedoch verhältnismässig unbedeutende Vergehen, deren Mitverfolgung und Mitbeurteilung den Behörden des Kantons Zürich ohne weiteres zugemutet werden kann. Es wäre nicht zu verstehen, wenn sich Holzer, nachdem bereits im Kanton Solothurn ein Urteil gegen ihn gefällt wurde, sich für die noch nicht beurteilten Vergehen in zwei weiteren Kantonen verantworten müsste. Das widerspräche dem Grundgedanken des Art. 350 Ziff. 1 StGB . Die Staatsanwaltschaft des Kantons Zürich bringt denn auch keinerlei Gründe vor, die eine Abtrennung des Verfahrens wegen der beiden Widerhandlungen gegen das Strassenverkehrsgesetz zu rechtfertigen vermöchten.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