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32</w:t>
      </w:r>
    </w:p>
    <w:p>
      <w:r>
        <w:t>Bundesgericht (BGE), 1969-01-01, DE</w:t>
      </w:r>
    </w:p>
    <w:p>
      <w:r>
        <w:rPr>
          <w:b/>
        </w:rPr>
        <w:t xml:space="preserve">Quelle: </w:t>
      </w:r>
      <w:r>
        <w:t>https://mcp.opencaselaw.ch/entscheid/bge_BGE_95_IV_32</w:t>
      </w:r>
    </w:p>
    <w:p>
      <w:r>
        <w:t>FR: ATF 95 IV 32</w:t>
      </w:r>
    </w:p>
    <w:p>
      <w:r>
        <w:t>IT: DTF 95 IV 32</w:t>
      </w:r>
    </w:p>
    <w:p>
      <w:pPr>
        <w:pStyle w:val="Heading2"/>
      </w:pPr>
      <w:r>
        <w:t>Regeste</w:t>
      </w:r>
    </w:p>
    <w:p>
      <w:r>
        <w:t>Regeste Trennung der Verfahren und des interkantonalen Gerichtsstandes. 1. Die bundesrechtlichen Bestimmungen über die interkantonale Zuständigkeit gehen kantonalen Vorschriften über die sachliche Zuständigkeit vor (Erw. 1). 2. Art. 68 und 350 Ziff. 1 StGB geben dem Beschuldigten nicht Anspruch, für alle Handlungen durch ein und denselben Richter und in einem einzigen Verfahren beurteilt zu werden (Erw. 2). 3. Art. 263 BStP. Trennung des interkantonalen Gerichtsstandes in einem Fall, wo der Beschuldigte in einem Kanton wegen eines Vergehens verfolgt wird, während in einem andern Kanton bereits ein Strafmandat wegen einer Übertretung gegen ihn vorliegt (Erw. 3). 4. Art. 156 Abs. 2 OG. Erweist sich das Gesuch einer kantonalen Behörde um Bestimmung des Gerichtsstandes als missbräuchlich, so können die Kosten dem Kanton auferlegt werden (Erw. 4).</w:t>
      </w:r>
    </w:p>
    <w:p>
      <w:r>
        <w:t>Regeste Disjonction des procédures et du for intercantonal. 1. Les dispositions de droit fédéral qui règlent la compétence intercantonale ont le pas sur les règles cantonales touchant la compétence ratione materiae (consid. 1). 2. Les art. 68 et 350 ch. 1 CP ne confèrent à l'inculpé aucun droit à être jugé, dans une procédure unique, par un seul et même juge (consid. 2). 3. Art. 263 PPF. Disjonction du for intercantonal dans un cas où l'inculpé est poursuivi dans un canton pour une infraction, alors que, dans un autre canton, l'on a déjà décerné contre lui un mandat de répression pour une contravention (consid. 3). 4. Art. 156 al. 2 OJ. Lorsque la requête en fixation du for, introduite par une autorité cantonale, apparaît abusive, les frais peuvent en être mis à la charge de cette autorité (consid. 4).</w:t>
      </w:r>
    </w:p>
    <w:p>
      <w:r>
        <w:t>Regesto Separazione delle procedure e delforo intercantonale. 1. Le disposizioni di diritto federale relative alla competenza intercantonale prevalgono sulle prescrizioni cantonali concernenti la competenza ratione materiae (consid. 1). 2. Gli art. 68 e 350 num. 1 CP non conferiscono all'imputato il diritto di essere giudicato, per tutti i reati, dallo stesso giudice e in un'unica procedura (consid. 2). 3. Art. 263 PPF. Separazione del foro intercantonale in un caso ove l'imputato è perseguito in un cantone per un delitto, mentre in un altro cantone già esiste contro di lui un decreto di condanna per una contravvenzione (consid. 3). 4. Art. 156 cpv. 2 OG. Quando la domanda di un'autorità cantonale volta alla determinazione del foro si rivela abusiva, le spese possono essere addossate al cantone (consid. 4).</w:t>
      </w:r>
    </w:p>
    <w:p>
      <w:pPr>
        <w:pStyle w:val="Heading2"/>
      </w:pPr>
      <w:r>
        <w:t>Erwägungen</w:t>
      </w:r>
    </w:p>
    <w:p>
      <w:r>
        <w:rPr>
          <w:b/>
        </w:rPr>
        <w:t>E. 1</w:t>
      </w:r>
    </w:p>
    <w:p>
      <w:r>
        <w:t>Das Verlassen einer Geschwängerten ist mit Gefängnis bedroht ( Art. 218 StGB ), der Ungehorsam des Schuldners beim Vollzug eines Arrestes dagegen nur mit Haft bis zu vierzehn Tagen oder mit Busse ( Art. 323 Ziff. 2 StGB ). Gemäss Art. 350 Ziff. 1 Abs. 1 StGB sind daher die Behörden des Kantons Zürich zur Verfolgung und Beurteilung beider dem W. zur Last gelegten strafbaren Handlungen zuständig. Dass das zürcherische Recht mangels eines Zusammenhanges zwischen beiden Handlungen die eine nicht von vornherein durch die gleiche Behörde verfolgen lässt, ändert nichts. Kantonale Vorschriften über die sachliche Zuständigkeit vermögen die bundesrechtlichen Bestimmungen über die interkantonale Zuständigkeit nicht unwirksam zu machen, da Bundesrecht dem kantonalen Recht vorgeht (Art. 2 UeBest BV).</w:t>
      </w:r>
    </w:p>
    <w:p>
      <w:r>
        <w:rPr>
          <w:b/>
        </w:rPr>
        <w:t>E. 2</w:t>
      </w:r>
    </w:p>
    <w:p>
      <w:r>
        <w:t>Die Anklagekammer des Bundesgerichtes kann die Zuständigkeit beim Zusammentreffen mehrerer strafbarer Handlungen anders als in Art. 350 StGB bestimmen ( Art. 263 BStP ). Sie braucht dabei die Einheit des Gerichtsstandes nicht zu wahren, sondern kann die zusammentreffenden Handlungen verschiedenen Kantonen zur Verfolgung und Beurteilung zuweisen ( BGE 68 IV 124 ff., BGE 69 IV 47 Erw. 3). Art 68 StGB gibt dem Beschuldigten nicht Anspruch, für alle Handlungen BGE 95 IV 32 S. 35 durch ein und denselben Richter und in einem einzigen Verfahren beurteilt zu werden ( BGE 84 IV 11 , BGE 91 IV 59 ). Auch Art. 350 Ziff. 1 StGB verlangt die Vereinigung der Verfahren nicht; diese Bestimmung regelt nur die örtliche Zuständigkeit. 3. - Von Art. 350 Ziff. 1 StGB wurde in der Praxis abgewichen, wenn sich durch die Bestimmung eines einheitlichen Gerichtsstandes die gleichzeitige Beurteilung des Beschuldigten durch ein und denselben Richter ohnehin nicht hätte verwirklichen lassen ( BGE 68 IV 124 f.). Denn das kantonale Prozessrecht bestimmt, unter welchen Voraussetzungen die Behandlung durch ein und dieselbe Behörde möglich ist, und wenn es die Vereinigung der Verfahren nicht zulässt, kann der einheitliche örtliche Gerichtsstand sinnlos werden. Unter diesem Gesichtspunkt lässt sich im vorliegenden Falle die Zuweisung der Gerichtsbarkeit an den Kanton Bern für die Verfolgung und Beurteilung des Ungehorsams im Arrestverfahren nicht ohne weiteres rechtfertigen. Gewiss sind im Kanton Zürich Übertretungen grundsätzlich durch die Statthalterämter und die Gemeinderäte - in der Stadt Zürich durch das Polizeirichteramt - zu verfolgen und erklärt § 94 a Abs. 2 GVG die Untersuchungs-, Anklage- oder Gerichtsbehörden, die ein Verbrechen oder Vergehen untersuchen und beurteilen, nur dann zur Mitverfolgung von Übertretungen zuständig, wenn diese mit dem Verbrechen oder Vergehen zusammenhangen. Es gibt aber noch andere Fälle, in denen die Zuständigkeit der Statthalterämter und der Gemeinderäte auf Grund des in § 94 a Abs. 1 GVG enthaltenen Vorbehaltes gesetzlicher Ausnahmen entfällt. So weist § 335 StPO das Statthalteramt an, die Akten zur Durchführung der Untersuchung und zur Erledigung der Bezirksanwaltschaft zu überweisen, wenn es eine Haftstrafe für angemessen hält. Da Art. 323 StGB nicht nur Busse, sondern wahlweise auch Haft bis zu vierzehn Tagen androht, wäre daher im vorliegenden Falle nicht ausgeschlossen, dass das Statthalteramt die Sache der Bezirksanwaltschaft überweisen würde. Zudem kann der Beschuldigte, wenn er durch die Strafverfügung der Verwaltungsbehörde zu Busse verurteilt worden ist, gerichtliche Beurteilung verlangen ( § 346 StPO ), was zur Überweisung an den Einzelrichter oder das Bezirksgericht führt, wenn die Verwaltungsbehörde die Strafverfügung aufrecht hält und der Beschuldigte auf seinem Begehren beharrt ( § 347 StPO ). Da W. gegen das Strafmandat des Gerichtspräsidenten BGE 95 IV 32 S. 36 von Aarberg Einspruch erhoben hat, ist vorauszusehen, dass er auch in Zürich die Strafverfügung der Verwaltungsbehörde nicht hinnehmen würde. Es kann indessen offen bleiben, ob im vorliegenden Falle im Kanton Zürich ein und derselbe Richter gleichzeitig über den Ungehorsam und über das Verlassen einer Geschwängerten urteilen könnte. Im Kanton Bern ist gegen W. wegen des Ungehorsams bereits ein Strafmandat ergangen. Dieses hat die Bedeutung eines Urteils, obwohl es zufolge des Einspruchs nicht rechtskräftig geworden ist (vgl. Art. 224 bern. StrV). Die Anklagekammer pflegt von der Möglichkeit der Trennung des interkantonalen Gerichtsstandes namentlich dann Gebrauch zu machen, wenn in einem Kanton bereits ein noch nicht rechtskräftiges Urteil ergangen ist (Entscheide vom 5. Januar 1944 i.S. Helwig und vom 6. März 1944 i.S. Frey). Allerdings erfordert ein Strafmandat keinen grossen prozessualen Aufwand. Auch nach dem Einspruch des W. geschah nichts Weiteres, als dass der Gerichtspräsident den Beschuldigten einvernahm. Hauptverhandlung ist noch keine durchgeführt worden. Dennoch rechtfertigt es sich nicht, wegen des Übertretungstatbestandes in Zürich ein neues Verfahren einzuleiten. Wie sich aus einer Verfügung des Gerichtspräsidenten von Aarberg vom 21. Januar 1969 ergibt, erfordert die Beurteilung die Einvernahme zweier Zeugen aus Ortschwaben und Schüpfen. Diese müssten also entweder nach Zürich vorgeladen oder auf dem Wege der Rechtshilfe einvernommen werden. Es ist einfacher, das begonnene Verfahren in Aarberg zu beenden. Dem Beschuldigten wird daraus kein Nachteil entstehen. Sollte der Gerichtspräsident von Aarberg, wie er es im Strafmandat vorgesehen hatte, bei einer Busse bewenden lassen, in Zürich dagegen für den Tatbestand des Verlassens einer Geschwängerten eine Gefängnisstrafe ausgesprochen werden, so liesse sich das unter dem Gesichtspunkt von Art. 68 Ziff. 1 StGB nicht beanstanden, denn wenn der Schuldige nach einer Strafbestimmung Busse und nach einer anderen Freiheitsstrafe verwirkt hat, sind nach der Rechtsprechung des Bundesgerichts beide Strafen zu verhängen ( BGE 75 IV 2 , BGE 86 IV 233 ). Würde der Gerichtspräsident von Aarberg dagegen Haft als angemessen erachten - was nach Art. 225 Abs. 3 bern. StrV nicht ausgeschlossen wäre -, so hätte entweder er oder der zürcherische Richter dem Art. 68 Ziff. 2 StGB über die Ausfällung BGE 95 IV 32 S. 37 einer Zusatzstrafe Rechnung zu tragen. Übrigens ist nach der Auffassung der zürcherischen Behörden zweifelhaft, ob das Verfahren wegen Verlassens einer Geschwängerten überhaupt zu einem Urteil führen wird.</w:t>
      </w:r>
    </w:p>
    <w:p>
      <w:r>
        <w:rPr>
          <w:b/>
        </w:rPr>
        <w:t>E. 4</w:t>
      </w:r>
    </w:p>
    <w:p>
      <w:r>
        <w:t>Der Versuch des Generalprokurators des Kantons Bern, das Verfahren wegen Ungehorsams den Zürcher Behörden zuzuschieben, ist angesichts der Umstände nicht recht zu verstehen. Für dieses Mal wird aber noch davon abgesehen, in Abweichung von der Regel des Art. 156 Abs. 2 OG die Kosten dem Kanton Bern aufzuerlegen ( BGE 86 IV 195 Erw. 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