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29</w:t>
      </w:r>
    </w:p>
    <w:p>
      <w:r>
        <w:t>Bundesgericht (BGE), 1969-01-01, DE</w:t>
      </w:r>
    </w:p>
    <w:p>
      <w:r>
        <w:rPr>
          <w:b/>
        </w:rPr>
        <w:t xml:space="preserve">Quelle: </w:t>
      </w:r>
      <w:r>
        <w:t>https://mcp.opencaselaw.ch/entscheid/bge_BGE_95_IV_29</w:t>
      </w:r>
    </w:p>
    <w:p>
      <w:r>
        <w:t>FR: ATF 95 IV 29</w:t>
      </w:r>
    </w:p>
    <w:p>
      <w:r>
        <w:t>IT: DTF 95 IV 29</w:t>
      </w:r>
    </w:p>
    <w:p>
      <w:pPr>
        <w:pStyle w:val="Heading2"/>
      </w:pPr>
      <w:r>
        <w:t>Regeste</w:t>
      </w:r>
    </w:p>
    <w:p>
      <w:r>
        <w:t>Regeste 1. Art. 18 Abs. 2 lit. c VRV. Unter Einspurstrecken im Sinne dieser Bestimmung sind Fahrstreifen zu verstehen, die zum Einspuren bestimmt und als solche gekennzeichnet sind. 2. Art. 53 Abs. 1 SSV. Diese Vorschrift ist zwingend, verpflichtet folglich die für die Signalisation zuständigen Behörden, die Einspurpfeile anzubringen.</w:t>
      </w:r>
    </w:p>
    <w:p>
      <w:r>
        <w:t>Regeste 1. Art. 18 al. 2 lit. c OCR. Les tronçons servant à la présélection au sens de cette règle sont les voies destinées à la présélection et marquées comme telles. 2. Art. 53 al. 1 OSR. Cette disposition est impérative et oblige par conséquent les autorités chargées de la signalisation à apposer les flèches qui indiquent la présélection.</w:t>
      </w:r>
    </w:p>
    <w:p>
      <w:r>
        <w:t>Regesto 1. Art. 18 cpv. 2 lett. c OCStr. Per tratti riservati alla preselezione ai sensi di tale norma vanno intese le corsie destinate alla preselezione e segnate come tali. 2. Art. 53 cpv. 1 OSStr. Questa norma è imperativa ed obbliga pertanto le autorità incaricate della segnalazione ad apporre le frecce di preselezione.</w:t>
      </w:r>
    </w:p>
    <w:p>
      <w:pPr>
        <w:pStyle w:val="Heading2"/>
      </w:pPr>
      <w:r>
        <w:t>Erwägungen</w:t>
      </w:r>
    </w:p>
    <w:p>
      <w:r>
        <w:rPr>
          <w:b/>
        </w:rPr>
        <w:t>E. 1</w:t>
      </w:r>
    </w:p>
    <w:p>
      <w:r>
        <w:t>Nach Art. 37 Abs. 2 Satz 1 SVG dürfen Fahrzeuge dort nicht angehalten oder abgestellt werden, wo sie den Verkehr behindern oder gefährden könnten. In Art. 18 Abs. 2 lit. c VRV wird dazu insbesondere ausgeführt, dass das freiwillige Halten auf Einspurstrecken verboten ist. Das Verbot gilt gemäss Art. 19 Abs. 2 lit. a VRV auch für das Parkieren. Unter Einspurstrecken im Sinne dieser Ausführungsbestimmungen sind Fahrstreifen zu verstehen, die zum Einspuren bestimmt und als solche gekennzeichnet sind. Freilich hat der Fahrer auch auf Strassen ohne besondere Markierung einzuspuren, wenn er nach rechts oder nach links abbiegen will ( Art. 36 Abs. 1 SVG , Art. 13 Abs. 1 VRV ). Daraus folgt jedoch nicht, dass diesfalls das freiwillige Anhalten und Abstellen von Fahrzeugen auf Strecken, die zum Einspuren benützt werden, ebenfalls verboten sei. Wollte man das bejahen, so müsste der Fahrer, der auf solchen Strassen halten oder parkieren will, sich stets in die Lage eines Einspurenden versetzen. Das wäre schon deshalb zu viel verlangt, weil die angemessene Einspurstrecke sich nicht zum vorneherein für alle Fälle in Metern festlegen lässt ( BGE 94 IV 123 Erw. 2). Das wäre zudem unvereinbar mit Art. 5 Abs. 1 SVG . Nach dieser Bestimmung müssen Beschränkungen und Anordnungen für den Motorfahrzeug- und Fahrradverkehr durch Signale oder Markierungen angezeigt werden, sofern sie nicht für das ganze Gebiet der Schweiz gelten. Für das Gebot, auf einer bestimmten Bahn einzuspuren und sie zu keinem andern Zwecke zu benützen, trifft dies nicht zu; es ist deshalb durch Markierung zu kennzeichnen. Blosse Schlüsse aus andern Beschränkungen oder Anordnungen vermögen fehlende Signale oder Markierungen nicht zu ersetzen. Das gilt umsomehr, als ihr Anbringen nunmehr Voraussetzung sowohl für die Gültigkeit BGE 95 IV 29 S. 31 der betreffenden Anordnung oder Beschränkung wie für die strafrechtliche Verurteilung ist. Art. 5 Abs. 1 SVG hat gegenüber dem früheren Rechtszustand eine klare Regelung geschaffen (vgl. BGE 80 IV 46 ; BGE 84 IV 25 und 52 sowie dort angeführte Urteile; ferner SCHULTZ, Die strafrechtliche Rechtsprechung zum neuen Strassenverkehrsrecht, S. 91). Einspurstrecken im Sinne von Art. 18 Abs. 2 lit. c VRV müssen daher als solche gekennzeichnet sein; sonst greifen die anderen Vorschriften über das Halten und Parkieren an Strassenverzweigungen Platz. Damit stimmt überein, dass gemäss Art. 53 Abs. 1 SSV die Fahrstreifen für die Linksabbieger, Geradeausfahrer und Rechtsabbieger durch Pfeile, die nach der entsprechenden Richtung gezogen sind, gekennzeichnet werden. Diese Vorschrift ist zwingend, überlässt es folglich entgegen der Auffassung des Einzelrichters nicht den für die Signalisation zuständigen Behörden, ob die Einspurpfeile anzubringen seien oder nicht. Der französische Text lässt darüber keine Zweifel offen, mögen der deutsche und italienische auch ungewöhnlich sein.</w:t>
      </w:r>
    </w:p>
    <w:p>
      <w:r>
        <w:rPr>
          <w:b/>
        </w:rPr>
        <w:t>E. 2</w:t>
      </w:r>
    </w:p>
    <w:p>
      <w:r>
        <w:t>Es ist unbestritten, dass der rechte Fahrstreifen, auf dem Wullschleger den Wagen abstellte, keine Pfeile aufwies. Die Tatsache, dass der Streifen den Rechtsabbiegern vorbehalten war, folglich nicht zum Parkieren benutzt werden durfte, war somit nicht vorschriftsgemäss angezeigt. Freilich lag der Schluss auf eine solche Beschränkung nach den übrigen Umständen nahe; Klarheit bestand jedoch nicht, da das Fehlen der Pfeile auf dem äussersten Streifen verschieden ausgelegt werden konnte. Die Vorinstanz ist übrigens selbst nicht anderer Meinung. Sie führt aus, dass die fehlende Pfeilmarkierung eine Unterlassung der für die Signalisation zuständigen Behörde darstellte und die Markierung die Sachlage verdeutlicht hätte. Traf dies aber zu, so darf der Beschwerdeführer nach dem hievor Gesagten nicht wegen Übertretung von Art. 18 Abs. 2 lit. c und 19 Abs. 2 lit. a VRV bestraft werden. Dispositiv Demnach erkennt der Kassationshof: Die Nichtigkeitsbeschwerde wird gutgeheissen, das angefochtene Urteil aufgehoben und die Vorinstanz angewiesen, den Beschwerdeführer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