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128</w:t>
      </w:r>
    </w:p>
    <w:p>
      <w:r>
        <w:t>Bundesgericht (BGE), 1969-01-01, FR</w:t>
      </w:r>
    </w:p>
    <w:p>
      <w:r>
        <w:rPr>
          <w:b/>
        </w:rPr>
        <w:t xml:space="preserve">Quelle: </w:t>
      </w:r>
      <w:r>
        <w:t>https://mcp.opencaselaw.ch/entscheid/bge_BGE_95_IV_128</w:t>
      </w:r>
    </w:p>
    <w:p>
      <w:r>
        <w:t>FR: ATF 95 IV 128</w:t>
      </w:r>
    </w:p>
    <w:p>
      <w:r>
        <w:t>IT: DTF 95 IV 128</w:t>
      </w:r>
    </w:p>
    <w:p>
      <w:pPr>
        <w:pStyle w:val="Heading2"/>
      </w:pPr>
      <w:r>
        <w:t>Regeste</w:t>
      </w:r>
    </w:p>
    <w:p>
      <w:r>
        <w:t>Regeste Art. 69 StGB. Der Richter darf die Anrechnung der Untersuchungshaft nur verweigern, soweit der Beschuldigte die Haft durch sein Verhalten nach der Tat tatsächlich herbeigeführt oder verlängert hat. Anwendung dieses Grundsatzes bei Zusammentreffen von Verhaftungsgründen.</w:t>
      </w:r>
    </w:p>
    <w:p>
      <w:r>
        <w:t>Regeste Art. 69 CP. Le juge ne refusera d'imputer la détention préventive que dans la mesure où elle a été effectivement provoquée ou prolongée par la conduite du prévenu après l'infraction. Application de ce principe en cas de concours de motifs d'incarcération.</w:t>
      </w:r>
    </w:p>
    <w:p>
      <w:r>
        <w:t>Regesto Art. 69 CP. Il giudice non rifiuterà di computare il carcere preventivo che nella misura in cui esso è stato effettivamente provocato o prolungato dalla condotta dell'accusato dopo il reato. Applicazione di questo principio in caso di concorso di motivi d'incarcerazione.</w:t>
      </w:r>
    </w:p>
    <w:p>
      <w:pPr>
        <w:pStyle w:val="Heading2"/>
      </w:pPr>
      <w:r>
        <w:t>Erwägungen</w:t>
      </w:r>
    </w:p>
    <w:p>
      <w:r>
        <w:rPr>
          <w:b/>
        </w:rPr>
        <w:t>E. 1</w:t>
      </w:r>
    </w:p>
    <w:p>
      <w:r>
        <w:t>En vertu de l'art. 69 CP, le juge déduira la détention préventive de la peine privative de liberté dans la mesure où le condamné n'aura pas, par sa conduite après l'infraction, provoqué lui-même sa détention préventive ou la prolongation de celle-ci. Selon la jurisprudence, la conduite excluant l'imputation de la détention préventive peut être en soi un motif d'ordonner l'incarcération: le prévenu prépare sa fuite, cherche à faire disparaître des preuves ou à suborner des témoins. Mais l'imputation peut aussi être exclue par un comportement qui n'est pas lui-même une cause de détention préventive selon la procédure cantonale: lorsque le prévenu refuse de fournir les renseignements demandés, conteste l'infraction ou induit en erreur les autorités d'instruction par des indications fallacieuses, il prolonge nécessairement la durée de l'instruction et, partant, celle de la détention préventive. Peu importe que le comportement du prévenu soit ou non fautif; il suffit qu'il soit causal. Dans toute la mesure où il aura effectivement provoqué ou prolongé la détention préventive, mais dans cette mesure seulement, l'imputation devra être refusée (RO 90 IV 69/70 et les références).</w:t>
      </w:r>
    </w:p>
    <w:p>
      <w:r>
        <w:rPr>
          <w:b/>
        </w:rPr>
        <w:t>E. 2</w:t>
      </w:r>
    </w:p>
    <w:p>
      <w:r>
        <w:t>A l'appui des demandes adressées au Tribunal d'accusation pour prolonger la détention préventive des recourants, le juge informateur invoquait le risque de fuite et le risque de collusion. Selon les constatations de la cour cantonale, qui BGE 95 IV 128 S. 130 reprend en substance les faits retenus par le Tribunal correctionnel, les prévenus ont entravé l'instruction par tous les moyens, notamment en niant l'évidence et en rendant difficile leur identification. On peut donc admettre que le risque de collusion découlait de leur attitude après l'infraction. Contestant obstinément leur crime malgré les preuves recueillies, les recourants étaient prêts à mettre obstacle par tous les moyens à la recherche de la vérité. En revanche, le risque de fuite était déduit de leur qualité de malfaiteurs internationaux sans attaches avec la Suisse, et non de leur comportement après l'infraction. En présence d'un tel concours de motifs d'incarcération, la cour de céans ajugé, dans son arrêt Taupe (RO 91 IV 2 ss.), que l'imputation était exclue dès que la conduite du prévenu était la cause de la détention, alors même que l'incarcération aurait vraisemblablement été ordonnée ou prolongée pour d'autres motifs ne dépendant pas de cette conduite. Ce principe, qui équivaut à nier la nécessité d'un comportement causal, ne peut être maintenu de manière aussi absolue. Lors même qu'il viendrait à confirmer par sa conduite les présomptions de fuite ou de collusion déduites d'éléments indépendants de sa volonté, le prévenu ne peut provoquer une détention déjà ordonnée et qui aurait été maintenue même s'il avait adopté une autre attitude. En revanche, il peut la prolonger. Les recourants, ainsi que le constate le Tribunal correctionnel, n'auraient pas pu éviter d'être détenus, vu le risque - abstrait - de fuite. La cause doit donc être renvoyée à la cour cantonale pour qu'elle impute sur la peine prononcée la durée que la détention préventive aurait eue de toute façon, si les prévenus s'étaient comportés correctement. Contrairement à l'opinion des recourants, l'imputation ne portera pas sur la totalité de la détention préventive, ni même nécessairement sur une partie importante de celle-ci. Par leur comportement, ils ont compliqué tant l'instruction préparatoire que la rédaction de l'ordonnance de renvoi et la préparation des débats. La juridiction cantonale déterminera dans quelle mesure ils ont ainsi prolongé leur détention préventive. Elle devra évidemment se contenter d'une estimation et disposera pour l'arrêter d'un large pouvoir d'appréciation, limité seulement par l'interdiction de l'arbitraire (RO 73 IV 93). BGE 95 IV 128 S. 131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