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107</w:t>
      </w:r>
    </w:p>
    <w:p>
      <w:r>
        <w:t>Bundesgericht (BGE), 1969-01-01, DE</w:t>
      </w:r>
    </w:p>
    <w:p>
      <w:r>
        <w:rPr>
          <w:b/>
        </w:rPr>
        <w:t xml:space="preserve">Quelle: </w:t>
      </w:r>
      <w:r>
        <w:t>https://mcp.opencaselaw.ch/entscheid/bge_BGE_95_IV_107</w:t>
      </w:r>
    </w:p>
    <w:p>
      <w:r>
        <w:t>FR: ATF 95 IV 107</w:t>
      </w:r>
    </w:p>
    <w:p>
      <w:r>
        <w:t>IT: DTF 95 IV 107</w:t>
      </w:r>
    </w:p>
    <w:p>
      <w:pPr>
        <w:pStyle w:val="Heading2"/>
      </w:pPr>
      <w:r>
        <w:t>Regeste</w:t>
      </w:r>
    </w:p>
    <w:p>
      <w:r>
        <w:t>Regeste Art. 74 Ziff. 11 und 100 Abs. 1 ZG. Der auf einer Ware entstandene Zollrückerstattungsanspruch hebt die mit einer andern Ware begangene Zollhinterziehung nicht auf.</w:t>
      </w:r>
    </w:p>
    <w:p>
      <w:r>
        <w:t>Regeste Art. 74 ch. 11 et 100 al. 1 LD. Le droit au remboursement des sommes payées à la douane sur une marchandise ne compense pas la contravention douanière commise sur une autre marchandise.</w:t>
      </w:r>
    </w:p>
    <w:p>
      <w:r>
        <w:t>Regesto Art. 74 num. 11 e 100 cpv. 1 LD. Il diritto al rimborso delle somme pagate alla dogana su una merce non compensa la contravvenzione doganale commessa su un'altra merce.</w:t>
      </w:r>
    </w:p>
    <w:p>
      <w:pPr>
        <w:pStyle w:val="Heading2"/>
      </w:pPr>
      <w:r>
        <w:t>Erwägungen</w:t>
      </w:r>
    </w:p>
    <w:p>
      <w:r>
        <w:rPr>
          <w:b/>
        </w:rPr>
        <w:t>E. 1</w:t>
      </w:r>
    </w:p>
    <w:p>
      <w:r>
        <w:t>Nach Art. 74 Ziff. 11 ZG begeht eine Zollübertretung, wer Waren, für die auf Grund richtiger Angaben Zollfreiheit oder Zollermässigung zugestanden worden ist, nachträglich ohne Bewilligung und ohne Nachentrichtung des Zollbetreffnisses zu einem der Zollfreiheit oder Zollermässigung nicht entsprechenden Zweck verwendet. Es ist unbestritten, dass bei Zollbehandlung von Waren nach ihrem Verwendungszweck die in Art. 18 ZG und Art. 40 ZV vorgesehene Abfertigung zu den niedrigeren Ansätzen eine Zollermässigung im Sinne von Art. 74 Ziff. 11 ZG darstellt. Der Beschwerdegegner hat 249'586 kg Mineralöl, für das die Zollermässigung erlangt worden war, zweckwidrig und entgegen der durch Revers eingegangenen Verpflichtung als Dieselöl verkauft. Er hat sich daher nach Art. 74 Ziff. 11 ZG strafbar gemacht, wenn er es ohne Bewilligung und ohne Nachentrichtung der Zolldifferenz tat. Der Beschwerdegegner bestreitet nicht, eine Bewilligung weder eingeholt noch erhalten zu haben. Nach Art. 2 Abs. 4 der Zollvorschriften für den Handel mit Heizöl und Dieselöl vom 1. April 1961 kann eine Nachverzollung von Heizöl als Dieselöl ohnehin grundsätzlich nicht bewilligt werden. Ausnahmen davon sollen nur in unverschuldeten Fällen gemacht werden. Wie es sich damit verhält, kann indessen dahingestellt bleiben. Werden Waren, die gemäss dem angegebenen Verwendungszweck zu einem höhern Ansatz verzollt worden sind, nachträglich zu einem Zweck verwendet, für den im Zolltarif eine niedrigere Position vorgesehen ist, so kann der Zollpflichtige innert 60 Tagen oder einer von der Oberzolldirektion festgesetzten längern Frist die Rückerstattung der Zolldifferenz BGE 95 IV 107 S. 110 verlangen ( Art. 18 Abs. 3 ZG , Art. 40 Abs. 3 ZV ). Wird umgekehrt eine nach dem angegebenen Verwendungszweck niedriger verzollte Ware nachträglich ohne Bewilligung einem Zwecke zugeführt, der eine höhere Verzollung erfordert, hat sich der Zollpflichtige in gleicher Weise der ZOIlübertretung nach Art. 74 Ziff. 11 ZG schuldig gemacht wie derjenige, der den Straftatbestand des Art. 74 Ziff. 3 ZG erfüllt, indem er zollpflichtige Waren beim Grenzübertritt zur Zollbehandlung anzumelden unterlässt. Dass er aus einem andern Rechtsgrunde umgekehrt eine Forderung an die Zollverwaltung geltend zu machen hat, hilft weder im einen noch im andern Fall über die Straffälligkeit hinweg. Untauglich ist auch der Einwand des Beschwerdegegners, er habe die Zolldifferenz laufend und vollumfänglich durch den Verkauf von Dieselöl zu Feuerungszwecken intern "kompensiert". Wie die Vorinstanz unter Hinweis auf IMBODEN (Schweiz. Verwaltungsrechtsprechung, 3. Aufl., Nr. 124, S. 32 ff., insbesondere S. 34) zu Recht ausführt, steht dem Pflichtigen im öffentlichen Recht - und damit auch im Zollrecht - keine Verrechnung einer Forderung mit derjenigen des Gemeinwesens zu; nur die das Gemeinwesen vertretende Behörde kann verrechnen. Abgesehen davon, dass der Beschwerdegegner die Verrechnung jeweils gar nicht erklärte, sondern nur intern "kompensierte", hebt der auf einer Ware entstandene Zollrückerstattungsanspruch die mit einer andern Ware begangene Zollhinterziehung nicht auf. Durch "Kompensationen", wie sie Rey vornahm, würde zudem die Kontrolle über die Sicherungen, welche die Oberzolldirektion mit ihren Vorschriften vom 1. April 1961 für die bestimmungsgemässe Verwendung des zollbegünstigten Heizöls aufgestellt hat, insbesondere über die getrennte Lagerung von Heizöl und Dieselöl, weitgehend gefährdet, wenn nicht verunmöglicht.</w:t>
      </w:r>
    </w:p>
    <w:p>
      <w:r>
        <w:rPr>
          <w:b/>
        </w:rPr>
        <w:t>E. 2</w:t>
      </w:r>
    </w:p>
    <w:p>
      <w:r>
        <w:t>...</w:t>
      </w:r>
    </w:p>
    <w:p>
      <w:r>
        <w:rPr>
          <w:b/>
        </w:rPr>
        <w:t>E. 3</w:t>
      </w:r>
    </w:p>
    <w:p>
      <w:r>
        <w:t>...</w:t>
      </w:r>
    </w:p>
    <w:p>
      <w:r>
        <w:rPr>
          <w:b/>
        </w:rPr>
        <w:t>E. 4</w:t>
      </w:r>
    </w:p>
    <w:p>
      <w:r>
        <w:t>Die Firma Voegtlin-Meyer AG, deren Leitung mit dem Vorgehen des Beschwerdegegners einverstanden war, haftet gemäss Art. 100 Abs. 1 ZG in Verbindung mit Art. 9 Abs. 1, 2 und 4 ZG für die auszusprechende Busse sowie für die Kosten solidarisch. BGE 95 IV 107 S. 111 Dispositiv Demnach erkennt der Kassationshof: Die Nichtigkeitsbeschwerde wird gutgeheissen, das Urteil des Obergerichts des Kantons Aargau vom 11. Juli 1968 aufgehoben und die Sache zur Bestrafung des Beschwerdegegners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