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519</w:t>
      </w:r>
    </w:p>
    <w:p>
      <w:r>
        <w:t>Bundesgericht (BGE), 1969-01-01, FR</w:t>
      </w:r>
    </w:p>
    <w:p>
      <w:r>
        <w:rPr>
          <w:b/>
        </w:rPr>
        <w:t xml:space="preserve">Quelle: </w:t>
      </w:r>
      <w:r>
        <w:t>https://mcp.opencaselaw.ch/entscheid/bge_BGE_95_II_519</w:t>
      </w:r>
    </w:p>
    <w:p>
      <w:r>
        <w:t>FR: ATF 95 II 519</w:t>
      </w:r>
    </w:p>
    <w:p>
      <w:r>
        <w:t>IT: DTF 95 II 519</w:t>
      </w:r>
    </w:p>
    <w:p>
      <w:pPr>
        <w:pStyle w:val="Heading2"/>
      </w:pPr>
      <w:r>
        <w:t>Regeste</w:t>
      </w:r>
    </w:p>
    <w:p>
      <w:r>
        <w:t>Regeste Erbvertrag. Nacherbeneinsetzung. 1. Die Bestimmung, womit jeder Ehegatte sich verpflichtet, den andern zum Alleinerben einzusetzen und im Falle des Überlebens einen bestimmten Dritten zum Alleinerben zu machen, enthält zugleich eine Erb- und eine Nacherbeneinsetzung (Erw. 3). 2. Diese Nacherbeneinsetzung schliesst den Verzicht eines jeden Ehegatten auf seinen Pflichtteil am Nachlass des andern in sich (Erw. 4). 3. Das angenommene Kind des überlebenden Ehegatten ist nicht Pflichtteilserbe des vorversterbenden Ehegatten (Erw. 4).</w:t>
      </w:r>
    </w:p>
    <w:p>
      <w:r>
        <w:t>Regeste Pacte successoral. Substitution fidéicommissaire. 1. La clause par laquelle des époux s'obligent chacun à faire de l'autre son unique héritier et, en cas de survie, de faire d'un tiers désigné son héritier unique contient à la fois une constitution d'héritier et une substitution fidéicommissaire (consid. 3). 2. Cette substitution fidéicommissaire comporte une renonciation de chacun des époux à sa réserve légale dans la succession de l'autre (consid. 4). 3. L'enfant adoptif de l'époux survivant n'est pas héritier réservataire de l'époux prémourant (consid. 4).</w:t>
      </w:r>
    </w:p>
    <w:p>
      <w:r>
        <w:t>Regesto Patto successorio. Sostituzione fedecommissaria. 1. La clausola mediante la quale i coniugi istituiscono l'un l'altro unico erede e per il superstite un erede unico, contiene una istituzione d'erede e una sostituzione fedecommissaria (consid. 3). 2. Questa sostituzione fedecommissaria comporta una rinuncia di ciascuno alla porzione legittima nella successione dell'altro (consid. 4). 3. Il figlio adottivo del coniuge superstite non è erede legittimo del coniuge premoriente (consid. 4).</w:t>
      </w:r>
    </w:p>
    <w:p>
      <w:pPr>
        <w:pStyle w:val="Heading2"/>
      </w:pPr>
      <w:r>
        <w:t>Erwägungen</w:t>
      </w:r>
    </w:p>
    <w:p>
      <w:r>
        <w:rPr>
          <w:b/>
        </w:rPr>
        <w:t>E. 1</w:t>
      </w:r>
    </w:p>
    <w:p>
      <w:r>
        <w:t>et 2. - ...</w:t>
      </w:r>
    </w:p>
    <w:p>
      <w:r>
        <w:rPr>
          <w:b/>
        </w:rPr>
        <w:t>E. 3</w:t>
      </w:r>
    </w:p>
    <w:p>
      <w:r>
        <w:t>Selon l'art. 494 al. 1 CC, dans un pacte successoral, le disposant peut s'obliger à laisser sa succession ou un legs à l'autre partie contractante ou à un tiers. En l'espèce, chacun des BGE 95 II 519 S. 522 époux X. s'est engagé envers l'autre à en faire son unique héritier; chacun s'est en outre obligé, en cas de survie, à faire d'Adrien X. (ou, à son défaut, de ses descendants par représentation) son "héritier unique et universel". Il y a là, en réalité, deux stipulations interdépendantes, mais distinctes. Chacun des époux - alors sans postérité - a premièrement institué l'autre héritier unique. Secondement - ce qui était admissible dans un pacte successoral (v. com. TUOR et com. ESCHER ad art. 488 CC, n. 1) - il a assorti cette institution d'une substitution fidéicommissaire. L'époux survivant, comme héritier, ne recueillait donc les biens du prémourant et ne les acquérait que sous condition résolutoire; à son décès, ils passaient de plein droit à l'appelé, qui devenait aussi l'héritier, non pas de l'institué, mais du disposant. Car la substitution fidéicommissaire entraîne deux fois successivement la dévolution d'une seule et même succession (TUOR, remarques préliminaires sur les art. 488 à 493 n. 1; ESCHER, même référence). Sans doute, dans la présente espèce et selon la lettre même du pacte successoral, Adrien X. devait être l'héritier de l'époux survivant; de plus, il devait, en cette qualité, recueillir l'ensemble des biens laissés par celui-ci, qu'il s'agisse des biens propres du survivant ou de biens provenant de la succession du prémourant, peu importe. Mais il n'en reste pas moins qu'en imposant à l'époux survivant l'obligation de transmettre à un tiers les biens qui lui venaient du prémourant, le pacte successoral créait une substitution fidéicommissaire et que, de par la nature même de cette institution, la masse des biens grevée ne pouvait en aucune façon compter au nombre des biens héréditaires de l'institué (ESCHER, n. 3 sur l'art. 492 CC). Les contractants ont été au-delà de cette substitution et chacun des époux s'est engagé envers l'autre à transmettre à l'appelé non seulement les biens reçus du prémourant, mais encore les siens propres. Vu l'effet de la substitution fidéicommissaire, seule cette seconde catégorie de biens entrait dans la succession du survivant.</w:t>
      </w:r>
    </w:p>
    <w:p>
      <w:r>
        <w:rPr>
          <w:b/>
        </w:rPr>
        <w:t>E. 4</w:t>
      </w:r>
    </w:p>
    <w:p>
      <w:r>
        <w:t>Il suit de là, dans la présente espèce, que, les contractants n'ayant pas modifié le pacte successoral du 6 novembre 1941, la substitution fidéicommissaire est devenue irrévocable au moment du décès d'Albert X., le 2juillet 1946. Cette substitution ne comportant aucune clause restrictive, c'est à bon droit que la Cour de justice y a vu une renonciation de chacun des époux à sa réserve légale dans la succession de l'autre. La recourante BGE 95 II 519 S. 523 ne critique pas cette opinion. La totalité de la fortune propre d'Albert X. a donc passé sous condition résolutoire, le 2juillet 1946, dans la propriété de Marguerite X., puis dans celle des descendants de feu Adrien X., le 7 juillet 1964, lors du décès de Marguerite X. Elle n'a donc jamais fait partie des biens qui forment la masse héréditaire de celle-ci. Cette masse ne comprend que les biens propres de la défunte. L'adoption de Louisa Z. par Marguerite X. n'a rien changé à cette situation de droit. L'adoptée est devenue la fille de l'adoptante, mais non celle d'Albert X., mari défunt de celle-ci. Elle n'a jamais été l'héritière du prénommé et, sauf pour le legs dont la gratifie le pacte successoral, elle n'a aucun droit sur les biens qui proviennent de sa succession, biens pour lesquels sa mère avait renoncé à la réserve légale de l'époux survivant. Elle a en revanche, comme héritière, un droit sur les biens propres laissés par sa mère adoptive. Elle reconnaît, on l'a montré, que les recourants doivent recueillir 1/4 de cette masse et elle-même 3/4, ce qui représente sa réserve d'enfant adoptive (art. 268 al. 1 et 471 ch.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