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514</w:t>
      </w:r>
    </w:p>
    <w:p>
      <w:r>
        <w:t>Bundesgericht (BGE), 1969-01-01, DE</w:t>
      </w:r>
    </w:p>
    <w:p>
      <w:r>
        <w:rPr>
          <w:b/>
        </w:rPr>
        <w:t xml:space="preserve">Quelle: </w:t>
      </w:r>
      <w:r>
        <w:t>https://mcp.opencaselaw.ch/entscheid/bge_BGE_95_II_514</w:t>
      </w:r>
    </w:p>
    <w:p>
      <w:r>
        <w:t>FR: ATF 95 II 514</w:t>
      </w:r>
    </w:p>
    <w:p>
      <w:r>
        <w:t>IT: DTF 95 II 514</w:t>
      </w:r>
    </w:p>
    <w:p>
      <w:pPr>
        <w:pStyle w:val="Heading2"/>
      </w:pPr>
      <w:r>
        <w:t>Regeste</w:t>
      </w:r>
    </w:p>
    <w:p>
      <w:r>
        <w:t>Regeste Art. 23 und 376 Abs. 1 ZGB. Ist eine pflegebedürftige Person dauernd bei einer Familie untergebracht, so hat sie dort ihren Wohnsitz. Ein allfälliges Entmündigungsverfahren ist somit an diesem Ort einzuleiten.</w:t>
      </w:r>
    </w:p>
    <w:p>
      <w:r>
        <w:t>Regeste Art. 23 et 376 al. 1 CC. Lorsqu'une personne qui a besoin de soins est placée de façon durable dans une famille, elle y a son domicile. C'est à cet endroit que l'on doit introduire, le cas échéant, une procédure en interdiction.</w:t>
      </w:r>
    </w:p>
    <w:p>
      <w:r>
        <w:t>Regesto Art. 23 e 376 cpv. 1 CC. Una persona bisognosa di cure collocata durevolmente presso una famiglia ha il suo domicilio alla sede di questa. Un eventuale procedimento di interdizione deve svolgersi in tale comune.</w:t>
      </w:r>
    </w:p>
    <w:p>
      <w:pPr>
        <w:pStyle w:val="Heading2"/>
      </w:pPr>
      <w:r>
        <w:t>Erwägungen</w:t>
      </w:r>
    </w:p>
    <w:p>
      <w:r>
        <w:rPr>
          <w:b/>
        </w:rPr>
        <w:t>E. 1</w:t>
      </w:r>
    </w:p>
    <w:p>
      <w:r>
        <w:t>/2. - ... (Prozessuale Fragen).</w:t>
      </w:r>
    </w:p>
    <w:p>
      <w:r>
        <w:rPr>
          <w:b/>
        </w:rPr>
        <w:t>E. 3</w:t>
      </w:r>
    </w:p>
    <w:p>
      <w:r>
        <w:t>lit. a erwähnte Rechtsprechung des Bundesgerichtes über die Unterbringung eines fürsorge- oder pflegebedürftigen Mündels bei Privaten auch auf Personen anzuwenden, die nicht bevormundet sind und aus irgend einem Grunde bei Privaten in Pflege gegeben werden. Dabei kann es nicht darauf ankommen, ob die Versetzung zwangsweise von einer Behörde oder im Einverständnis des Pfleglings von privaten oder öffentlichen Organisationen durchgeführt wird.</w:t>
      </w:r>
    </w:p>
    <w:p>
      <w:r>
        <w:rPr>
          <w:b/>
        </w:rPr>
        <w:t>E. 4</w:t>
      </w:r>
    </w:p>
    <w:p>
      <w:r>
        <w:t>Im vorliegenden Fall wurde X. von der kantonalen Familienpflege betreut. Diese befasst sich gemäss § 53 des Zürcher Gesetzes über das Gesundheitswesen vom 4. November 1962 mit der Unterbringung und Beaufsichtigung psychisch Kranker in Privatfamilien und Heimen. Ihre Tätigkeit ist näher geregelt in der Verordnung des Regierungsrates vom 15. September 1960 über die kantonale Familienpflege. Gemäss § 1 dieser Verordnung ist die Hilfe der Familienpflege beschränkt auf Kranke, die sich nach ihrem Befund zu einer solchen Unterbringung eignen und mit ihr einverstanden sind. Ob X. in den Jahren 1953 bis 1956 in Feldbach oder in Bubikon, als sie daselbst in Heimen untergebracht war, Wohnsitz erworben hatte, kann dahingestellt bleiben. Sie hielt sich freilich während ungefähr zweieinhalb Jahren in einem Altersheim in Bubikon auf und hatte sich um diesen Platz zum Teil sogar selber bemüht. Doch ist dieser Umstand hier nicht von Bedeutung; denn nach den Kriterien, die das Bundesgericht in seiner Rechtsprechung über den Wohnsitzerwerb Bevormundeter, die bei Privaten in Pflege gegeben werden, herausgearbeitet hat, erwarb X. später in der Gemeinde Höri Wohnsitz. Sie hielt sich ohne Unterbrechung fast sieben Jahre lang bei der gleichen Familie in Höri auf. Dieser Ort bildete somit für lange Zeit den neuen Mittelpunkt ihrer Lebensverhältnisse und war zudem mit ihrem Einverständnis als solcher gewählt worden. Irgend ein unzulässiger Zweck wurde mit dieser Familienpflege nicht verfolgt. Da sich X. seit August 1963 ständig in Anstalten aufhält und damit nach Art. 26 ZGB keinen neuen Wohnsitz begründen konnte, blieb gemäss Art. 24 Abs. 1 ZGB der Wohnsitz in Höri bestehen. Die Justizdirektion des Kantons Zürich hat demzufolge die Vormundschaftsbehörde dieser Gemeinde mit Recht als zuständig erachtet, das Entmündigungsverfahren durchzuführen. Es nützt der Beschwerdeführerin auch nichts, wenn sie sich BGE 95 II 514 S. 519 darauf beruft, dieses Verfahren hätte schon bei der Erkrankung der X., als sie noch in Pfäffikon Wohnsitz hatte, angestrengt werden sollen. Das mag an sich zutreffen, hindert aber nicht, dass heute auf die Sachlage zur Zeit der Anhebung des Entmündigungsverfahrens abgestellt werden muss, wie in Erwägung 3 Absatz 1 dargetan wurde. Die Gemeinde Höri hätte zudem die Vormundschaft, wenn sie noch während der Zeit, in welcher X. in Pfäffikon wohnte, angeordnet worden wäre, später doch auf Grund von Art. 377 ZGB übernehmen müssen.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