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503</w:t>
      </w:r>
    </w:p>
    <w:p>
      <w:r>
        <w:t>Bundesgericht (BGE), 1969-01-01, FR</w:t>
      </w:r>
    </w:p>
    <w:p>
      <w:r>
        <w:rPr>
          <w:b/>
        </w:rPr>
        <w:t xml:space="preserve">Quelle: </w:t>
      </w:r>
      <w:r>
        <w:t>https://mcp.opencaselaw.ch/entscheid/bge_BGE_95_II_503</w:t>
      </w:r>
    </w:p>
    <w:p>
      <w:r>
        <w:t>FR: ATF 95 II 503</w:t>
      </w:r>
    </w:p>
    <w:p>
      <w:r>
        <w:t>IT: DTF 95 II 503</w:t>
      </w:r>
    </w:p>
    <w:p>
      <w:pPr>
        <w:pStyle w:val="Heading2"/>
      </w:pPr>
      <w:r>
        <w:t>Regeste</w:t>
      </w:r>
    </w:p>
    <w:p>
      <w:r>
        <w:t>Regeste Namensänderung. 1. Zuständigkeit der Gerichtsbehörde (Erw. 1). 2. Abwägung der entgegengesetzten Interessen der ausserehelichen Kinder, die stets den Familiennamen ihres Vaters getragen haben und diesen tatsächlichen Zustand legalisieren möchten, einerseits, und der ehelichen Familie, die sich dieser Namensänderung widersetzt, anderseits (Erw. 2 bis 5).</w:t>
      </w:r>
    </w:p>
    <w:p>
      <w:r>
        <w:t>Regeste Changement de nom. 1. Compétence de l'autorité judiciaire (consid. 1). 2. Mise en balance des intérêts opposés des enfants illégitimes qui, ayant toujours porté le patronyme de leur père, demandent la régularisation de cet état de fait et de la famille légitime, qui s'y oppose (consid. 2 à 5).</w:t>
      </w:r>
    </w:p>
    <w:p>
      <w:r>
        <w:t>Regesto Cambiamento di nome. 1. Competenza dell'autorità giudiziaria (consid. 1). 2. Valutazione degli interessi dei figli illegittimi, i quali hanno sempre portato il cognome patronimico e domandano di regolare tale stato di fatto, rispetto a quelli della famiglia legittima che si oppone al cambiamento (consid. 2 a 5).</w:t>
      </w:r>
    </w:p>
    <w:p>
      <w:pPr>
        <w:pStyle w:val="Heading2"/>
      </w:pPr>
      <w:r>
        <w:t>Erwägungen</w:t>
      </w:r>
    </w:p>
    <w:p>
      <w:r>
        <w:rPr>
          <w:b/>
        </w:rPr>
        <w:t>E. 1</w:t>
      </w:r>
    </w:p>
    <w:p>
      <w:r>
        <w:t>Selon l'art. 30 al. 3 CC, lorsque le gouvernement du canton d'origine a autorisé une personne à changer de nom, toute personne lésée peut attaquer ce changement par une action de justice. Dans ce cas, le juge examine d'abord si l'opposition se justifie par un intérêt légitime suffisant du demandeur. Dans l'affirmative, il met en balance cet intérêt avec celui que possède le défendeur, non pas à changer de nom - point qui relève de l'autorité exécutive - mais à adopter le nom contesté (RO 52 II 104; 67 II 192 ).</w:t>
      </w:r>
    </w:p>
    <w:p>
      <w:r>
        <w:rPr>
          <w:b/>
        </w:rPr>
        <w:t>E. 2</w:t>
      </w:r>
    </w:p>
    <w:p>
      <w:r>
        <w:t>Dans la présente espèce, supposé même - question qui peut demeurer indécise - que les recourants aient un intérêt légitime à s'opposer à ce que les défendeurs adoptent leur nom, cet intérêt ne l'emporterait pas sur celui qu'ont les défendeurs à prendre ce nom. a) Le préjudice allégué par les opposants est principalement d'ordre affectif. Ils ont profondément souffert, disent-ils, du fait qu'Aloys Fornerod les a abandonnés pour aller vivre avec Marie von der Weid; les enfants issus de cette union illégitime sont le témoignage constant et le rappel de cette situation pénible; l'autorisation qui leur a été donnée de prendre le nom de BGE 95 II 503 S. 506 Fornerod est particulièrement douloureuse, car elle sanctionne une intrusion des défendeurs dans leur famille; le droit fédéral protège la famille et, par conséquent, réprime de telles atteintes au sentiment de l'honneur familial. Du seul fait qu'ils porteraient le nom de Fornerod, les défendeurs n'entreraient certes pas dans la famille de leur père naturel. En les autorisant à le porter, le Conseil d'Etat n'a pas modifié leur statut d'enfants illégitimes. Cependant, il a tout au moins créé l'apparence d'un lien familial en réalité inexistant. Sa décision confirme donc le préjudice affectif subi par les demandeurs du fait que des enfants adultérins peuvent passer pour des membres de leur famille. Il y a là sans doute une offense au sentiment de l'honneur familial. Mais, pour en apprécier la gravité, il faut se référer aux faits qui l'ont motivée et montrer, comme l'a déjà fait la cour cantonale, que, pour l'essentiel, elle est déjà ancienne. Il y a plus de trente ans qu'Aloys Fornerod et Suzanne Dupertuis se sont séparés définitivement. En 1938 déjà, selon le jugement sur la première action en divorce, le lien conjugal était si profondément atteint que la vie commune était devenue insupportable. Les faits postérieurs, à savoir la liaison d'Aloys Fornerod avec Marie von der Weid, la naissance des enfants issus de cette liaison, enfin l'habitude qui fut prise de faire porter auxdits enfants le patronyme de Fornerod - habitude qui ne semble avoir soulevé aucune opposition de la part de la famille - demeuraient sans doute pénibles pour l'épouse et le fils d'Aloys Fornerod; cependant leurs effets ont été nécessairement atténués par la rupture effective et irrémédiable du lien conjugal et par l'écoulement du temps. L'autorisation du Conseil d'Etat, seul fait récent, n'a fait que sanctionner un état de choses ancien et sans doute connu depuis longtemps, dès avant et au moins depuis la mort d'Aloys Fornerod. A l'atténuation due à l'écoulement du temps s'ajoute celle que cause la distance. Les demandeurs vivent à Lausanne, les défendeurs à Fribourg, villes où, du reste, le nom de Fornerod est assez répandu, comme les juges cantonaux l'ont constaté souverainement. La Cour d'appel fribourgeoise a constaté encore que les demandeurs n'entretenaient point de relations personnelles avec Aloys Fornerod et sa nouvelle famille. Les recourants allèguent qu'il y aurait là une erreur manifeste, qu'il appartiendrait BGE 95 II 503 S. 507 au Tribunal fédéral de rectifier d'office (art. 63 al. 2 OJ). Mais la question ne présente, pour eux, aucun intérêt puisque le juge cantonal a interprété le fait (prétendument erroné) en leur faveur, disant que c'est précisément la séparation des deux familles qui rend sensible l'emploi, par l'une, du nom de l'autre. Au surplus, l'inadvertance se limitait à attribuer à Claude Fornerod les déclarations de son fils Michel et elle est aisément rectifiable. Le reste est affaire d'appréciation des preuves et relevait du juge du fait. Michel Fornerod a déclaré, d'une part, qu'il n'avait lui-même aucun rapport avec son grand-père; d'autre part il a dit: "nous n'allions pas chez lui", ce qui autorisait la cour cantonale à dire qu'il n'y avait pas de relations entre les deux familles. b) Les recourants s'estiment aussi lésés dans leurs intérêts légitimes en raison de la notoriété du nom de Fornerod. En effet, disent-ils, Aloys Fornerod a illustré son nom par ses talents de compositeur, de critique et par son enseignement dans le domaine musical. Du fait qu'ils porteraient le même nom, les défendeurs, non seulement feraient croire à des rapports familiaux inexistants, mais encore bénéficieraient du prestige attaché au patronyme. Dans une jurisprudence déjà ancienne (RO 52 II 104; 60 II 389 ; 67 II 191 ), le Tribunal fédéral a admis que la notoriété d'un nom de famille pouvait justifier ceux qui le portent à s'opposer à ce que dess tiers se l'approprient. Supposé que ce principe doive être maintenu, son application n'emporterait pas l'admission de la demande. Car la notoriété d'Aloys Fornerod, comme musicien, n'est guère que locale et se rattache d'autant moins à son patronyme en général que celui-ci est plus répandu. c) C'est avec raison que les recourants - tout en y faisant allusion - n'ont pas insisté, dans la procédure cantonale, sur les risques d'erreurs que pouvait entraîner le changement de nom litigieux. Les deux familles, en effet, habitent des villes différentes. Au surplus, beaucoup de patronymes sont plus répandus que celui de Fornerod, sans qu'il s'ensuive de confusions préjudiciables.</w:t>
      </w:r>
    </w:p>
    <w:p>
      <w:r>
        <w:rPr>
          <w:b/>
        </w:rPr>
        <w:t>E. 3</w:t>
      </w:r>
    </w:p>
    <w:p>
      <w:r>
        <w:t>Quant aux défendeurs, s'ils ont intérêt à porter le nom de Fornerod, c'est principalement parce qu'ils ont toujours été connus sous ce nom. Supposé qu'on les oblige à l'abandonner, à leurs âges, soit 21, 19, 18 et 15 ans, il en résulterait pour eux des BGE 95 II 503 S. 508 inconvénients manifestes et sensibles. Il pourrait du reste s'y ajouter, le cas échéant, certains préjudices économiques, sans parler du tort moral qui découlerait pour eux de la révélation inévitable d'une ascendance illégitime et du discrédit qui peut, dans l'opinion publique, frapper la personne contrainte d'abandonner un nom qu'elle portait. Les demandeurs ne le contestent pas, mais objectent que le long usage de leur nom par les enfants naturels d'Aloys Fornerod ne devrait pas être retenu en leur faveur, parce qu'il procéderait d'une usurpation et que l'autorité ne saurait consacrer un tel abus. Si usurpation il y eut du vivant d'Aloys Fornerod, elle ne saurait être imputée aux défendeurs. Ceux-ci se sont trouvés dans le cas d'être connus sous le nom de leur père et de le porter dès leur enfance. Ce fait s'impose à chacune des deux parties et l'autorité ne saurait l'ignorer, car, si faute il y a eu, elle n'est imputable qu'à Aloys Fornerod et à Marie von der Weid, non à leurs enfants naturels. Ceux-ci demandent aujourd'hui la légalisation d'un état de fait qu'ils n'ont en rien provoqué. Cette légalisation du reste ne change rien à leur statut dans la mesure où ils conservent leur état d'enfants naturels ainsi que leur précédent droit de cité.</w:t>
      </w:r>
    </w:p>
    <w:p>
      <w:r>
        <w:rPr>
          <w:b/>
        </w:rPr>
        <w:t>E. 4</w:t>
      </w:r>
    </w:p>
    <w:p>
      <w:r>
        <w:t>Enfin le Tribunal fédéral n'a pas à examiner si, par ses convictions religieuses, Aloys Fornerod pouvait tenir son union avec Suzanne Dupertuis pour nulle et celle qu'il a entretenue avec Marie von der Weid pour légitime. Bien qu'il n'eût sans doute pas ignoré quel était le nom de ses enfants illégitimes du point de vue légal, ses convictions religieuses ont pu éventuellement atténuer le sentiment de la faute qu'il commettait en leur faisant porter son nom. Mais, comme on l'a montré plus haut, l'existence même de cette faute et, partant, sa gravité subjective ne sauraient entrer en ligne de compte, s'agissant d'apprécier l'intérêt des défendeurs à porter le nom de Fornerod.</w:t>
      </w:r>
    </w:p>
    <w:p>
      <w:r>
        <w:rPr>
          <w:b/>
        </w:rPr>
        <w:t>E. 5</w:t>
      </w:r>
    </w:p>
    <w:p>
      <w:r>
        <w:t>La mise en balance des intérêts opposés des parties oppose donc d'une part une atteinte affective que les circonstances et surtout le temps ont beaucoup atténuée, d'autre part le dommage que subiraient quatre jeunes gens s'ils devaient abandonner le nom, relativement répandu d'ailleurs, qui leur a été attribué et qu'ils portent sans qu'on puisse leur en faire grief. Les autres éléments d'appréciation, on l'a montré, n'ont que peu ou point de portée. BGE 95 II 503 S. 509 L'intérêt des premiers ne saurait donc l'emporter sur celui des seconds et, en déboutant les demandeurs, la Cour d'appel fribourgeoise n'a pas violé les art. 29 et 30 CC.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