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397</w:t>
      </w:r>
    </w:p>
    <w:p>
      <w:r>
        <w:t>Bundesgericht (BGE), 1969-01-01, DE</w:t>
      </w:r>
    </w:p>
    <w:p>
      <w:r>
        <w:rPr>
          <w:b/>
        </w:rPr>
        <w:t xml:space="preserve">Quelle: </w:t>
      </w:r>
      <w:r>
        <w:t>https://mcp.opencaselaw.ch/entscheid/bge_BGE_95_II_397</w:t>
      </w:r>
    </w:p>
    <w:p>
      <w:r>
        <w:t>FR: ATF 95 II 397</w:t>
      </w:r>
    </w:p>
    <w:p>
      <w:r>
        <w:t>IT: DTF 95 II 397</w:t>
      </w:r>
    </w:p>
    <w:p>
      <w:pPr>
        <w:pStyle w:val="Heading2"/>
      </w:pPr>
      <w:r>
        <w:t>Regeste</w:t>
      </w:r>
    </w:p>
    <w:p>
      <w:r>
        <w:t>Regeste Verletzung des Eigentums. Abwehr ungerechtfertigter Einwirkungen. 1. Art. 641 Abs. 2 ZGB. Unmittelbare, einer Besitzesstörung im Sinne des Art. 928 ZGB gleichkommende Einwirkung auf ein Weggrundstück durch Flugverkehr (Erw. 2 a). 2. Art. 646 und 648 ZGB. Jeder Miteigentümer des von der Störung betroffenen Grundstückes kann die Eigentumsfreiheitsklage erheben, selbst wenn die andern Miteigentümer mit der Störung einverstanden sind (Erw. 2 b). Im Miteigentum der Nachbarn stehende Weggrundstücke. Grösse der Anteile (Erw. 2 Anfang). 3. Der Einbezug zweier Weggrundstücke, die bisher rein landwirtschaftlichen Zwecken dienten, in einen Flugplatzbetrieb bedeutet eine Änderung ihrer Zweckbestimmung. Hiezu bedarf es bei einem im Miteigentum stehenden Grundstück - sofern nicht einstimmig eine andere Ordnung vereinbart ist - nach Art. 648 Abs. 2 ZGB der Zustimmung aller Miteigentümer (Erw. 2 c). 4. Klage auf Verbot des Überrollens zweier Weggrundstücke und des Überfliegens dieser Wege in so geringer Höhe, dass Menschen und Sachen gefährdet werden (Erw. 4 a). Interesse des Klägers an diesem Verbot (Erw. 4 b). Die Mindestflughöhe braucht nicht im Urteil festgelegt zu werden. Aufgaben des Eidgenössischen Luftamtes (Art. 44 Abs. 3 Luftfahrtgesetz und Art. 47, 63 und 81 der dazugehörigen VV) (Erw. 4 c).</w:t>
      </w:r>
    </w:p>
    <w:p>
      <w:r>
        <w:t>Regeste Atteinte au droit de propriété. Droit de repousser toute usurpation. 1. Art. 641 al. 2 CC. Usurpation, analogue à un trouble à la possession au sens de l'art. 928 CC, d'un fonds en nature de chemin par le trafic aérien (consid. 2 a). 2. Art. 646 et 648 CC. Chacun des copropriétaires du fonds atteint par le trouble peut intenter l'action négatoire, même si les autres copropriétaires consentent au trouble (consid. 2 b). Fonds en nature de chemin appartenant en copropriété aux riverains. Grandeur des parts (consid. 2, début). 3. L'affectation au trafic d'un aérodrome de deux fonds en nature de chemin utilisés précédemment à des fins exclusivement agricoles implique un changement de leur destination, lequel exige, en vertu de l'art. 648 al. 2 CC, le concours de tous les copropriétaires, à moins que ceux-ci n'aient unanimement établi d'autres règles à cet égard (consid. 2 c). 4. Demande tendant à faire prononcer l'interdiction de faire rouler des avions sur deux fonds en nature de chemin et de survolerceux-ci à une altitude si basse que les hommes et les choses soient mis en danger (consid. 4 a). Intérêt du demandeur à cette interdiction (consid. 4 b). Il n'est pas nécessaire que le jugement fixe la hauteur de vol minimum. Attributions de l'Office fédéral de l'air (art. 44 al. 3 de la loi sur la navigation aérienne et art. 47, 63 et 81 de l'ordonnance d'exécution de ladite loi) (consid. 4 c).</w:t>
      </w:r>
    </w:p>
    <w:p>
      <w:r>
        <w:t>Regesto Violazione della proprietà. Diritto di respingere le indebite ingerenze. 1. Art. 641 cpv. 2 CC. Diretta ingerenza - assimilabile alla turbativa del possesso ai sensi dell'art. 928 CC - su di un fondo che serve da passaggio, ad opera del traffico aereo (consid. 2 a). 2. Art. 646 e 648 CC. Ogni comproprietario del fondo colpito dalla turbativa può far valere l'azione negatoria, quand'anche gli altri comproprietari consentano alla turbativa (consid. 2 b). Fondi che servono da passaggio, appartenenti in comproprietà ai confinanti. Grandezza delle parti (consid. 2, inizio). 3. L'inclusione di due fondi che servono da passaggio, e che precedentemente erano utilizzati per fini puramente agricoli, nel complesso di un aerodromo, comporta un cambiamento della loro destinazione, per il quale è necessario, giusta l'art. 648 cpv. 2 CC, il consenso di tutti i comproprietari, riservata un'altra regolamentazione unanimamente da loro convenuta al riguardo (consid. 2 c). 4. Azione volta al divieto di far partire aerei da due fondi destinati a passaggio e di sorvolarli ad un'altezza tanto esigua da mettere in pericolo uomini e cose (consid. 4 a). Interesse dell'attore a questo divieto (consid. 4 b). Non è necessario che l'altezza minima del volo sia fissata nella sentenza. Compiti dell'Ufficio aeronautico federale (art. 44 cpv. 3 della legge federale sulla navigazione aerea e art. 47, 63 e 81 della relativa ordinanza d'esecuzione) (consid. 4 c).</w:t>
      </w:r>
    </w:p>
    <w:p>
      <w:pPr>
        <w:pStyle w:val="Heading2"/>
      </w:pPr>
      <w:r>
        <w:t>Erwägungen</w:t>
      </w:r>
    </w:p>
    <w:p>
      <w:r>
        <w:rPr>
          <w:b/>
        </w:rPr>
        <w:t>E. 1</w:t>
      </w:r>
    </w:p>
    <w:p>
      <w:r>
        <w:t>...</w:t>
      </w:r>
    </w:p>
    <w:p>
      <w:r>
        <w:rPr>
          <w:b/>
        </w:rPr>
        <w:t>E. 2</w:t>
      </w:r>
    </w:p>
    <w:p>
      <w:r>
        <w:t>Im Grundbuch sind keine Quoten der einzelnen Miteigentümer an den beiden Wegparzellen eingetragen. Es handelt sich jedoch um sog. Realrechte, weil das Miteigentum dem jeweiligen Eigentümer der den Wegparzellen benachbarten Grundstücke zusteht. Die Grösse der Anteile richtet sich somit nach diesem Besitz (vgl. MEIER-HAYOZ, Kommentar, N. 9 und 36 und HAAB, Kommentar, N. 2 zu Art. 646 ZGB ). Beim gegebenen Sachverhalt stellt sich in erster Linie die BGE 95 II 397 S. 401 Frage, ob sich der Kläger den Eingriff der Beklagten in sein Eigentum gefallen lassen muss oder nicht. a) Gemäss Art. 641 Abs. 2 ZGB hat der Eigentümer einer Sache das Recht, jede ungerechtfertigte Einwirkung abzuwehren. Ungerechtfertigt ist eine Einwirkung immer dann, wenn sie eine unmittelbare ist und somit einer Besitzesstörung im Sinne von Art. 928 ZGB gleichkommt, es sei denn, der Störer könne sich zu seiner Rechtfertigung auf eine gesetzliche Vorschrift oder auf ein dingliches oder vertragliches Recht berufen ( BGE 88 II 267 mit Verweisungen; nicht veröffentlichtes Urteil des Bundesgerichts vom 23. Februar 1967 i.S. Erni und Cie c. Galetti; MEIER-HAYOZ, a.a.O., N. 63 Abs. 2, HAAB, a.a.o., N. 42 und LEEMANN, N. 38 zu Art. 641 ZGB ). Indem Flugzeuge über die beiden Wege rollen und sie in niedriger Höhe überfliegen, wird zweifellos eine Besitzesstörung bewirkt. Die Beklagte kann sich zur Rechtfertigung weder auf eine gesetzliche Vorschrift noch auf ein dingliches oder vertragliches Recht gegenüber dem Kläger, welcher dem Überrollen und Überfliegen der Wegparzellen nie zugestimmt hat, stützen. Entgegen der Ansicht des Amtsgerichtes von Sursee ist die Häufigkeit der Störung oder der Umstand, dass beim Start und bei der Landung der Flugzeuge auf die Wegbenützer Rücksicht genommen wird, unerheblich. Trotz der nötigen Rücksichtnahme kann nicht verhindert werden, dass die Wegberechtigten den Weg nicht benützen können, solange ein Flugzeug startet oder landet. Aus diesem Grunde ist auch die Berechnung, welche die Beklagte in ihrer Berufungsschrift über die zeitliche Inanspruchnahme der Wege durch landende oder startende Flugzeuge vorgenommen hat, bedeutungslos. Zudem dürfte man einer solchen Berechnung nicht nur die Zeit, die ein Flugzeug zum Überrollen oder Überfliegen eines Weges braucht, zugrunde legen, wie es die Beklagte getan hat, sondern es wäre auch die Zeitspanne zu berücksichtigen, die bei jeder Flugbewegung aus Sicherheitsgründen vor dem Begehen oder Befahren des Weges abgewartet werden muss. Die Beklagte beruft sich auf MEIER-HAYOZ, a.a.O., N. 63 Abs. 1 zu Art. 641 ZGB , wonach sich die Kriterien für die Bestimmung, ob ein Eingriff ungerechtfertigt sei, nicht dem Art. 641 Abs. 2 ZGB entnehmen lassen, sondern zum Teil vom Gesetzgeber in den Bestimmungen des Nachbarrechts gegeben worden sind und zum Teil vom Richter auf dem Wege der BGE 95 II 397 S. 402 Rechtsfindung festgelegt werden müssen. Auf den vorliegenden Fall findet diese Kommentarstelle jedoch keine Anwendung, weil es sich eben nicht um eine Verletzung der Bestimmungen über das Nachbarrecht handelt. Es liegt vielmehr eine Besitzesstörung und damit eine unmittelbare Verletzung des Eigentums des Klägers vor. b) Die Tatsache, dass der Kläger nur Miteigentümer und nicht Alleineigentümer der Wegparzellen Nr. 690 und 693 ist, vermag an sich seinen Anspruch aus Art. 641 Abs. 2 ZGB nicht in Frage zu stellen. Jeder Miteigentümer ist befugt, sich gegen ungerechtfertigte Einwirkungen auf sein Eigentum mit der Eigentumsfreiheitsklage zu wehren und zwar nicht bloss gegen Störungen Dritter, sondern auch gegen solche von Miteigentümern (MEIER-HAYOZ, a.a.O., N. 60 zu Art. 641 und N. 64 und 71 zu Art. 646 ZGB ; HAAB, a.a.O., N. 2 zu Art. 648 ZGB ). Es spielt deshalb keine Rolle, dass sich im vorliegenden Fall andere Miteigentümer mit der Störung ausdrücklich einverstanden erklärt haben oder dagegen nicht eingeschritten sind. Art. 648 Abs. 1 ZGB steht dem Vorgehen des Klägers ebenfalls nicht im Wege. Nach dieser Vorschrift ist jeder Miteigentümer befugt, die Sache insoweit zu vertreten, zu gebrauchen und zu nutzen, als es mit den Rechten der andern verträglich ist. Das Überrollen und Überfliegen der Wege verträgt sich nicht mit dem Recht des Klägers auf ihre ungehinderte Benützung. Ebensowenig wie die Errichtung einer entsprechenden Dienstbarkeit zulasten einzelner Miteigentumsanteile zulässig wäre (LIVER, Kommentar, N. 18 der Einleitung und N. 22 zu Art. 730 ZGB ), kann eine inhaltlich ähnliche vertragliche Abmachung zwischen den andern Miteigentümern und der Beklagten den Kläger binden. c) Nachdem die Beklagte ihren Anspruch nicht auf Art. 641 ZGB stützen kann, bleibt zu prüfen, ob der Kläger auf Grund anderer Vorschriften über das Miteigentum gehalten ist, den Eingriff der Beklagten zu dulden. Gemäss Art. 647 b ZGB können wichtigere Verwaltungshandlungen mit Zustimmung der Mehrheit aller Miteigentümer, die zugleich den grössern Teil der Sache vertritt, durchgeführt werden. Darunter fallen u.a. nach der gesetzlichen Aufzählung, die nicht abschliessend ist, die Änderung der Kulturart oder Benutzungsweise und der Abschluss und die Auflösung von Miet- oder Pachtverträgen. Im vorliegenden Fall ist jedoch kein BGE 95 II 397 S. 403 solcher Beschluss der Mehrheit der Miteigentümer nachgewiesen worden. Hinsichtlich der Wegparzelle Nr. 690 wäre ein solcher Beschluss gar nicht möglich, da der Kläger zur Hälfte Miteigentümer dieser Parzelle ist. Entscheidend ist jedoch, dass hier nicht bloss eine wichtigere Verwaltungshandlung, sondern eine Veränderung der Zweckbestimmung der Grundstücke in Frage steht, die nach Art. 648 Abs. 2 ZGB der Zustimmung aller Miteigentümer bedarf, sofern diese nicht - was im vorliegenden Fall nicht nachgewiesen ist - einstimmig eine andere Ordnung vereinbart haben. Die beiden Weggrundstücke dienten früher rein landwirtschaftlichen Zwecken, nämlich als Zugang zu den landwirtschaftlich beworbenen Grundstücken, an die sie östlich und westlich des Winakanals grenzen. Später wurden sie freilich auch als Zufahrtswege zum Flugplatz westlich der Wina, den die Luzern-Beromünster-Genossenschaft bis zum 31. Dezember 1965 und nachher die Beklagte auf den Grundstücken Nr. 280 (GB Beromünster), 696 und 698 (GB Neudorf) betrieben haben, benützt. In beiden Fällen wurden die Wege aber im wesentlichen nur in ihrer Längsrichtung befahren. In der Berufungsschrift der Beklagten ist auch von Querüberrollungen die Rede, die bei der Wegparzelle Nr. 693 gelegentlich vorkommen konnten, wenn Kaspar Erni, dem die Grundstücke Nr. 714 und 692 beidseits dieser Parzelle gehören, bei landwirtschaftlichen Arbeiten vom einen auf das andere Grundstück fuhr. Das lässt sich jedoch mit dem Überrollen und Überfliegen durch Flugzeuge nicht vergleichen. Demgegenüber bewirkt die Tatsache, dass die beiden Wege in den Flugplatz der Beklagten einbezogen und demzufolge sehr häufig überrollt und überflogen werden, zweifellos eine Änderung in der Zweckbestimmung der Wegparzellen. Zwar müssen sie nach wie vor als Zufahrtswege zu den Grundstücken des Klägers und Fritz Hüslers westlich der Wina, die keine andere Verbindung zur Kantonsstrasse haben, dienen. Diese Benützungsart der beiden Wegparzellen tritt aber gegenüber der Tatsache, dass sie zum Bestandteil eines Flugplatzes geworden sind, in den Hintergrund. Es handelt sich daher nicht um eine blosse Änderung in der Benutzungsweise im Sinne von Art. 647 b ZGB , sondern um eine einschneidende Änderung der wirtschaftlichen Art der beiden Parzellen, wobei der bisherige Zweck zu einem nebensächlichen geworden ist (MEIER- BGE 95 II 397 S. 404 HAYOZ, a.a.O., N. 33 zu Art. 648 ZGB und HAAB, a.a.O., N. 10 zu Art. 647 ZGB ). Es nützt der Beklagten auch nichts, dass sie sich darauf beruft, sie habe die Grundstücke Nr. 691, 692 und 714 gepachtet und dürfe somit auch die Rechte ausüben, die den Eigentümern dieser Grundstücke an den Miteigentumsanteilen der Wegparzellen Nr. 690 und 693 zustehen. Das ist an sich zutreffend; doch können dem Pächter eines Miteigentumsanteils nicht mehr Rechte gegenüber den andern Miteigentümern zustehen als dem Verpächter selber. Wenn dieser nicht zu einer Veränderung der Zweckbestimmung der Sache befugt ist, kann es auch der Pächter nicht sein. Es ist aus den gleichen Gründen belanglos, dass die Beklagte angeblich durch Erwerb einer vom Grundstück Nr. 689 abgetrennten Parzelle Miteigentümerin der Wegparzelle Nr. 690 geworden ist. Dass diese neue Tatsache gestützt auf Art. 55 Abs. 1 lit. c OG im Berufungsverfahren nicht berücksichtigt werden kann, benachteiligt sie deshalb nicht.</w:t>
      </w:r>
    </w:p>
    <w:p>
      <w:r>
        <w:rPr>
          <w:b/>
        </w:rPr>
        <w:t>E. 3</w:t>
      </w:r>
    </w:p>
    <w:p>
      <w:r>
        <w:t>...</w:t>
      </w:r>
    </w:p>
    <w:p>
      <w:r>
        <w:rPr>
          <w:b/>
        </w:rPr>
        <w:t>E. 4</w:t>
      </w:r>
    </w:p>
    <w:p>
      <w:r>
        <w:t>Es bleibt zu prüfen, ob die Berufung des Klägers begründet ist. Dabei stellt sich die Frage, ob das Obergericht des Kantons Luzern mit Recht nur das Überrollen und nicht auch das Überfliegen der beiden Wegparzellen verboten hat. a) Der Kläger hatte vor dem kantonalen Obergericht zwei Rechtsbegehren gestellt, mit denen er dem Wortlaut nach der Beklagten verbieten lassen wollte, mit dem Flugplatzbetrieb einerseits ungerechtfertigt auf die Wegparzellen Nr. 690 und 693 "einzuwirken" und anderseits Verkehr und Sicherheit von Personen und Sachen auf diesen Parzellen "auf andere Weise" zu beeinträchtigen und zu gefährden. Wie die Vorinstanz zutreffend ausgeführt hat, richten sich diese Begehren dem Sinne nach gegen das Überrollen und Überfliegen der beiden Parzellen im Zusammenhang mit dem Flugplatzbetrieb der Beklagten. Aus der Klagebegründung konnte zudem ersehen werden, dass sich der Kläger nur insoweit gegen das Überfliegen der Wegparzellen zur Wehr setzt, als es in so niedriger Höhe erfolgt, dass Menschen und Sachen gefährdet werden. Daraus ergibt sich weiter, dass der Kläger seinen Abwehranspruch entgegen dem Wortlaut seines ersten Rechtsbegehrens nicht auf die Vorschriften des Nachbarrechts stützt, also nicht klagt, weil die Beklagte ihr Eigentumsrecht dadurch überschreitet, dass sie in BGE 95 II 397 S. 405 übermässiger Weise auf die beiden Wegparzellen einwirkt ( Art. 679 und 684 ZGB ). Er wendet sich vielmehr nur gegen die unmittelbare Verletzung seines Eigentums, also gegen eine Besitzesstörung, die nach Art. 641 ZGB zu beurteilen ist, wie bereits in Erw. 2 a dargetan wurde. b) Gemäss Art. 667 Abs. 1 ZGB erstreckt sich das Eigentum an Grund und Boden nach oben und unten auf den Luftraum und das Erdreich, soweit für die Ausübung des Eigentums ein Interesse besteht. Dieses Interesse ist hinsichtlich des Luftraumes über einem Grundstück mindestens soweit gegeben, als Menschen und Sachen, die sich darauf befinden, durch den Luftverkehr konkret gefährdet sind. Der Kläger hat mit seinen Rechtsbegehren und Vorbringen deutlich zum Ausdruck gebracht, dass er den Luftraum über seinem Grundstück nur innerhalb dieses Mindestanspruches geschützt haben will. Das kantonale Obergericht hat dem Kläger daher zu Unrecht ein Interesse am Verbot des Überfliegens der Wegparzellen in niedriger Höhe abgesprochen und erklärt, er hätte in seinem Rechtsbegehren Nr. 1 präzisieren müssen, unterhalb welcher Flughöhe das Überfliegen verboten werden solle. Ebensowenig trifft die Bemerkung des Obergerichtes zu, es fehle in dieser Beziehung an genügenden Sachbehauptungen. Indem es das Begehren, der Beklagten sei das Überfliegen der Wegparzellen in niedriger Höhe zu verbieten, aus prozessualen Gründen abgewiesen hat, ist das Bundeszivilrecht verletzt worden. Das Begehren wurde - wenn auch mit unklarem Wortlaut - ordnungsgemäss angebracht und war daher materiell zu behandeln (vgl. KUMMER, Das Klagerecht und die materielle Rechtskraft im schweizerischen Recht, S. 60; GULDENER, Bundesprivatrecht und kantonales Zivilprozessrecht, ZSR 1961 II S. 23 ff.; VOYAME, Droit privé fédéral et procédure civile cantonale, ebendort S. 70 ff.). c) Im Berufungsverfahren hat der Kläger sein Rechtsbegehren Nr. 2 dahin ergänzt, dass der Beklagten zu verbieten sei, beim Starten und Landen eine Flughöhe unter 60 m einzuhalten. Gemäss Art. 55 Abs. 1 lit. b OG sind jedoch neue Begehren im Berufungsverfahren vor Bundesgericht ausgeschlossen. Dieses Verbot gilt auch für Ergänzungen, die gegenüber den vor der letzten kantonalen Instanz gestellten Begehren materiellrechtlich abweichen, hingegen nicht für blosse Verdeutlichungen. BGE 95 II 397 S. 406 Ob der Kläger eine Verdeutlichung oder eine materielle Ergänzung angebracht hat, kann indessen offen bleiben, weil sein ursprüngliches Rechtsbegehren, richtig aufgefasst, gar keiner Ergänzung bedarf. Es braucht nicht festgelegt zu werden, welche Mindestflughöhe in Metern eingehalten werden muss, damit Menschen oder Sachen beim Überfliegen der Wegparzellen nicht gefährdet werden. Vielmehr wird das Eidgenössische Luftamt, das die Bewilligung zum Betrieb des Flugplatzes erteilt hat, zu prüfen haben, ob der Flugbetrieb trotz der Beschränkungen, die sich aus dem Eigentumsrecht des Klägers an den beiden Wegparzellen ergeben, weiterhin aufrecht erhalten werden kann oder ob die Sicherheit der Luftfahrt erfordert, die Bewilligung zu entziehen, bis sich der Kläger und die Beklagte über den Einbezug der beiden Wegparzellen in den Flugbetrieb geeinigt haben werden (vgl. Art. 44 Abs. 3 des Bundesgesetzes über die Luftfahrt vom 21. Dezember 1948 sowie Art. 47, 63 und 81 der dazugehörigen Vollziehungsverordnung vom 5. Juni 1950, AS 1950 I S. 471 ff.). Bei Start und Landung von Flugzeugen besitzen die üblichen Höhenvorschriften gemäss Art. 18 Abs. 3 der Verfügung des Eidgenössischen Verkehrs- und Energiewirtschaftsdepartementes über die Verkehrsregeln für Luftfahrzeuge vom 20. Mai 1967 (AS 1967 S. 923 ff. und 1968 S. 157 ff.) ohnehin keine Geltung. Noch weniger könnte es Aufgabe des Zivilrichters sein, bestimmte Flughöhen vorzuschreiben. Seine Zuständigkeit beschränkt sich auf den privatrechtlichen Schutz des Eigentums gegen Besitzesstörungen und übermässige Immissionen (vgl. A. BAI, Luftrecht und Grundeigentum, Zürcher Diss. 1955, S. 92 f., 198 f. und 255 f.). Soweit der Flug- und Flugplatzverkehr auf Piste, Rollfeld, Rollweg und Landebereich des Flugplatzes eine Besitzesstörung an den Parzellen Nr. 690 und 693 darstellt, ist die Berufung des Klägers begründet, und seine Rechtsbegehren sind in diesem Sinne gutzuheissen. Hingegen kann der Flugbetrieb im genannten Umfange nicht schlechthin verboten werden, wie es das Rechtsbegehren Nr. 1 entsprechend seinem Wortlaut verlangt. Ein solches Verbot liesse sich nur rechtfertigen, wenn vom Flugplatzbetrieb übermässig auf die fraglichen Wegparzellen eingewirkt würde ( Art. 684 ZGB ), ohne dass eine unmittelbare Verletzung des Eigentumsrechts stattfände. Dergleichen wird vom Kläger aber nicht einmal behauptet. BGE 95 II 397 S. 407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