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333</w:t>
      </w:r>
    </w:p>
    <w:p>
      <w:r>
        <w:t>Bundesgericht (BGE), 1969-01-01, DE</w:t>
      </w:r>
    </w:p>
    <w:p>
      <w:r>
        <w:rPr>
          <w:b/>
        </w:rPr>
        <w:t xml:space="preserve">Quelle: </w:t>
      </w:r>
      <w:r>
        <w:t>https://mcp.opencaselaw.ch/entscheid/bge_BGE_95_II_333</w:t>
      </w:r>
    </w:p>
    <w:p>
      <w:r>
        <w:t>FR: ATF 95 II 333</w:t>
      </w:r>
    </w:p>
    <w:p>
      <w:r>
        <w:t>IT: DTF 95 II 333</w:t>
      </w:r>
    </w:p>
    <w:p>
      <w:pPr>
        <w:pStyle w:val="Heading2"/>
      </w:pPr>
      <w:r>
        <w:t>Regeste</w:t>
      </w:r>
    </w:p>
    <w:p>
      <w:r>
        <w:t>Regeste Art. 60 Abs. 1 SVG. Diese Vorschrift gilt für das Zusammenwirken verschiedenartiger Schadenverursacher (Erw. 3). Analoge Anwendung von Art. 72 VVG bei der Haftpflichtversicherung. Übergang der Rückgriffsrechte des Schädigers auf den Versicherer (Bestätigung der Rechtsprechung; Erw. 4). Art. 60 Abs. 2 SVG. Der Halter kann sich im Rahmen einer Rückgriffsklage darauf berufen, dass ihm gegenüber dem Geschädigten ein Entlastungs-oder Befreiungsgrund zugestanden hätte (Erw. 5). Verschulden des Lenkers, der ein am Strassenrand stehendes Fahrzeug in den Verkehr einschaltet, ohne den Richtungsanzeiger zu betätigen. Die Frage der Beweislast ist gegenstandslos, wenn der Richter den Sachverhalt auf dem Wege der Beweiswürdigung ermittelt hat (Erw. 6). Art. 60 Abs. 2 Satz 2 SVG. Interne Auseinandersetzung zwischen Haltern. Beweislast. Betonung des Verschuldens bei der Schadensverteilung (Erw. 7).</w:t>
      </w:r>
    </w:p>
    <w:p>
      <w:r>
        <w:t>Regeste Art. 60 al. 1 LCR. Cette prescription s'applique lorsque plusieurs personnes répondent du dommage pour des causes différentes (consid. 3). Application par analogie de l'art. 72 LCA à l'assurance-responsabilité civile. Subrogation de l'assureur aux droits de recours de l'auteur du dommage (confirmation de la jurisprudence; consid. 4). Art. 60 al. 2 LCR. Le détenteur peut faire valoir, dans l'action récursoire dirigée contre lui, qu'il aurait eu un motif d'exonération ou de libération à l'encontre du lésé (consid. 5). Faute du conducteur qui engage dans le trafic un véhicule arrêté au bord de la chaussée, sans actionner l'indicateur de direction. La question du fardeau de la preuve ne se pose pas lorsque le juge a pu établir les faits par l'appréciation des preuves (consid. 6). Art. 60 al. 2 2e phrase LCR. Règlement interne entre détenteurs. Fardeau de la preuve. Importance prépondérante de la faute pour la répartition de la charge de réparer le dommage (consid. 7).</w:t>
      </w:r>
    </w:p>
    <w:p>
      <w:r>
        <w:t>Regesto Art. 60 cpv. 1 LCStr. Questa prescrizione s'applica quando più persone rispondono del danno per cause differenti (consid. 3). Applicazione analogica de l'art. 72 LCA nell'assicurazione per la responsabilità civile. Trasferimento del diritto di regresso dell'autore del danno all'assicuratore (conferma della giurisprudenza; consid. 4). Art. 60 cpv. 2 LCStr. Il detentore può, nell'azione di regresso promossa contro di lui, far valere ch'egli avrebbe avuto un motivo d'esonero o di liberazione nei riguardi del leso (consid. 5). Colpa del conducente che immette nella circolazione un veicolo fermo al margine della strada senza usare l'indicatore di direzione. Il quesito dell'onere della prova è privo d'oggetto quando il giudice ha accertato i fatti mediante apprezzamento delle prove (consid. 6). Art. 60 cpv. 2 2.a frase LCStr. Regolamento interno tra detentori. Onere della prova. Importanza preponderante della colpa nella ripartizione dei danni (consid. 7).</w:t>
      </w:r>
    </w:p>
    <w:p>
      <w:pPr>
        <w:pStyle w:val="Heading2"/>
      </w:pPr>
      <w:r>
        <w:t>Erwägungen</w:t>
      </w:r>
    </w:p>
    <w:p>
      <w:r>
        <w:rPr>
          <w:b/>
        </w:rPr>
        <w:t>E. 1</w:t>
      </w:r>
    </w:p>
    <w:p>
      <w:r>
        <w:t>Da sich der Unfall am 28. November 1962 ereignet hat, beurteilen sich die streitigen Ansprüche nach den Vorschriften der Artikel 58 ff. SVG betreffend Haftpflicht und Versicherung, die am 1. Januar 1960 in Kraft getreten sind (VVV vom 20. November 1959, Art. 61 Abs. 1). Das Verhalten der am Unfall beteiligten Fahrzeugführer ist dagegen nach den im Zeitpunkt des Unfalls noch geltenden Verkehrsregeln des MFG zu beurteilen.</w:t>
      </w:r>
    </w:p>
    <w:p>
      <w:r>
        <w:rPr>
          <w:b/>
        </w:rPr>
        <w:t>E. 2</w:t>
      </w:r>
    </w:p>
    <w:p>
      <w:r>
        <w:t>(Prozessuale Fragen).</w:t>
      </w:r>
    </w:p>
    <w:p>
      <w:r>
        <w:rPr>
          <w:b/>
        </w:rPr>
        <w:t>E. 3</w:t>
      </w:r>
    </w:p>
    <w:p>
      <w:r>
        <w:t>Art. 60 Abs. 1 SVG bestimmt: "Sind bei einem Unfall, an dem ein Motorfahrzeug beteiligt ist, mehrere für den Schaden eines Dritten verantwortlich, so haften sie, unter Vorbehalt von Abs. 3, solidarisch". Diese Vorschrift gilt für das Zusammenwirken verschiedenartiger Verursacher (Halter, Führer, Radfahrer, Eisenbahn, Werkeigentümer usw.), wie für die Schädigung durch mehrere Fahrzeuge. Solidarität setzt voraus, dass die Haftung eines jeden Beteiligten bereits feststeht. Der Halter ist dann "verantwortlich" und somit solidarisch haftpflichtig, wenn sich die Betriebsgefahr des Fahrzeuges im Sinne von Art. 58 Abs. 1 SVG verwirklicht hat und er weder Entlastung ( Art. 59 Abs. 1 SVG ) noch Befreiung (Art. 59 Abs. 2 und 3, 75 Abs. 1 SVG) beanspruchen kann. Liegt ein Herabsetzungsgrund vor, so hat er neben andern Ersatzpflichtigen nur im Umfange des reduzierten Betrages für den verursachten Schaden solidarisch einzustehen (vgl. OFTINGER, Haftpflichtrecht, Bd. II/2, 660, 672/73). Die Klägerin 1 ist Dritte im Sinne von Art. 60 Abs. 1 SVG . Sie konnte daher nach ihrer Wahl die beiden Fahrzeughalter sowie die aus Verschulden haftende Lenkerin, die Beklagte 2, auf Schadenersatz belangen. Ausserdem war sie von Gesetzes wegen befugt, die Beklagte 1 als Haftpflichtversicherer des nach BGE 95 II 333 S. 338 Art. 58 Abs. 4 SVG für das Verschulden seiner Ehefrau, der Beklagten 2, verantwortlichen Halters Othmar Hegner in Anspruch zu nehmen ( Art. 65 Abs. 1 SVG ).</w:t>
      </w:r>
    </w:p>
    <w:p>
      <w:r>
        <w:rPr>
          <w:b/>
        </w:rPr>
        <w:t>E. 4</w:t>
      </w:r>
    </w:p>
    <w:p>
      <w:r>
        <w:t>Die Beklagte 1 hat der Klägerin 1 gestützt auf die Vereinbarung vom 9./17. Mai 1968 Fr. 67'271.10 nebst Zins als Schadenersatz bezahlt. Zu prüfen ist, ob durch diese Zahlung die Schadenersatzforderung der Klägerin 1 auf die Beklagte 1 übergegangen ist. Nach Art. 72 VVG geht bei der Schadensversicherung der Ersatzanspruch, der den Anspruchsberechtigten gegenüber einem Dritten aus unerlaubter Handlung zusteht, auf den Versicherer über, soweit er Entschädigung geleistet hat. Da die Haftpflichtversicherung nach ihrer Stellung im Gesetz eine Unterart der Schadensversicherung ist, trifft Art. 72 VVG auch auf sie zu. Sie weist allerdings die Besonderheit auf, dass sie nicht einen den Versicherten unmittelbar treffenden Schaden zu decken bestimmt ist, sondern die Belastung zum Gegenstand hat, die den Versicherten infolge seiner Haftung für den Schaden eines Dritten trifft; Art. 72 VVG ist dagegen auf den Tatbestand zugeschnitten, dass der Geschädigte selbst versichert ist. Nach allgemein anerkannter Auffassung ist aber trotzdem in analoger Anwendung von Art. 72 VVG auch bei der Haftpflichtversicherung ein Übergang der Rückgriffsrechte vom Versicherten anzunehmen. Der übergehende Anspruch ist dabei, der Besonderheit der Haftpflichtversicherung entsprechend, der Ausgleichsanspruch des haftpflichtigen Versicherten nach Art. 50 und 51 OR gegenüber Mithaftpflichtigen. Diese Lösung ist deshalb gerechtfertigt, weil sonst eine Bereicherung des versicherten Haftpflichtigen einträte, da er einerseits infolge der Zahlungen des Haftpflichtversicherers von der Ersatzleistung an den Geschädigten befreit wäre, anderseits aber gleichwohl auf die Mithaftpflichtigen Rückgriff nehmen könnte; dies stünde aber im Widerspruch mit dem Grundsatz des Versicherungsrechts, dass die Schadenversicherung nicht zu einer Bereicherung des Versicherten führen dürfe (vgl. BGE 79 II 408 , BGE 69 II 417 , BGE 63 II 153 Erw. 6, BGE 62 II 181 /82, BGE 65 II 200 ; OFTINGER, a.a.O., Bd. I S. 408 ff. und Bd. II/2 S. 778). Die Beklagte 1 ist somit im Umfang der geleisteten Zahlung in die Rechte der geschädigten Klägerin 1 eingetreten. Da die Ansprüche der Klägerin 1 nach dem Versicherungsvertrag ihres Ehemannes, des Klägers 2, von der Deckung ausgeschlossen sind (vgl. Art. 63 Abs. 3 lit. d BGE 95 II 333 S. 339 SVG ), kann der Kläger 2 der Rückgriffsklage der Beklagten 1 nicht die Einrede der Deckungspflicht seines Versicherers entgegenhalten.</w:t>
      </w:r>
    </w:p>
    <w:p>
      <w:r>
        <w:rPr>
          <w:b/>
        </w:rPr>
        <w:t>E. 5</w:t>
      </w:r>
    </w:p>
    <w:p>
      <w:r>
        <w:t>Das Kantonsgericht hat vor der Durchführung der internen Auseinandersetzung geprüft, ob der Kläger 2 im Aussenverhältnis nach Art. 60 Abs. 1 SVG überhaupt "verantwortlich" sei. Es ist dabei zum Schluss gelangt, dass den Kläger 2 am Zusammenstoss kein Verschulden treffe, der Beklagten 2 dagegen "eine Fehlbewertung der gesamten Verkehrssituation" vorzuwerfen sei, was ein erhebliches, nicht aber ein grobes, die Kausalhaftung ausschliessendes Drittverschulden im Sinne von Art. 59 Abs. 1 SVG sei. Der Kläger 2 hätte sich daher - so folgert das Kantonsgericht - der Solidarhaftung nicht entziehen können, wenn er von der Klägerin 1 unmittelbar auf Schadenersatz belangt worden wäre. Das Kantonsgericht hat sodann unter Berücksichtigung der Betriebsgefahren und der Verschuldenslage den Kläger 2 zu 20%, die Beklagte 1 zu 80% als ersatzpflichtig erklärt. Der Kläger 2 rügt, die Vorinstanz habe Art. 59 Abs. 1 und 60 Abs. 1 und 2 SVG verletzt, weil sie das verkehrswidrige Verhalten der Beklagten 2 nicht als "grobes Verschulden" gewertet und ihn, den Kläger 2, von der Solidarhaftung nicht befreit habe. Art. 60 Abs. 2 SVG ordnet die interne Auseinandersetzung unter mehreren Ersatzpflichtigen. Satz 1 der Vorschrift bestimmt, dass der Schaden auf die beteiligten Haftpflichtigen unter Würdigung aller Verhältnisse zu verteilen sei. "Haften nur Motorfahrzeughalter, so tragen sie - nach Satz 2 - den Schaden zu gleichen Teilen, wenn nicht besondere Umstände, namentlich das Verschulden, eine andere Verteilung rechtfertigen." Satz 2 von Art. 60 Abs. 2 regelt somit den Ausgleich unter Haltern, Satz 1 dagegen den Ausgleich zwischen Haltern und andern Ersatzpflichtigen (vgl. OFTINGER, a.a.O., Bd. II/2, Fussnote 939, S. 675). Da die Beklagte 1 als Haftpflichtversicherung in die Rechte des Halters Hegner eingetreten ist, beurteilt sich die vorliegende Rückgriffsklage nach Art. 60 Abs. 2 Satz 2. Zu prüfen ist, ob sich der Halter im Rahmen einer Rückgriffsklage nach Art. 60 Abs. 2 SVG darauf berufen kann, dass ihm gegenüber dem Geschädigten ein Entlastungsgrund zugestanden hätte. Die Wendungen "Haftpflichtige" und "haften" in Art. 60 Abs. 2 Satz 1 und Satz 2 SVG nehmen Bezug auf die solidarische Verantwortung gegenüber Dritten nach Art. 60 BGE 95 II 333 S. 340 Abs. 1 SVG . Die Rückgriffsordnung des Art. 60 Abs. 2 SVG setzt somit nach Satz 1 und 2 Haftung eines jeden einzelnen im Aussenverhältnis voraus. Der Halter muss daher (auch im Innenverhältnis) für einen Schaden nicht einstehen, wenn er Entlastung ( Art. 59 Abs. 1 SVG ) oder Befreiung (Art. 59 Abs. 2 oder 3 und 75 Abs. 1 SVG) beanspruchen kann (vgl. OFTINGER, a.a.O. Bd. II/2, S. 672/73). Diese Regelung rechtfertigt sich insofern, als der Halter bei der internen Auseinandersetzung mit Haltern oder andern Ersatzpflichtigen weder besser nochschlechtergestelltwerdendarf, alswennervomGeschädigten unmittelbar belangt worden wäre. Gelingt ihm der Entlastungs- oder Befreiungsbeweis, so wird die interne Auseinandersetzung gegenstandslos (vgl. OFTINGER, a.a.O. Bd. II/2 S. 652/53).</w:t>
      </w:r>
    </w:p>
    <w:p>
      <w:r>
        <w:rPr>
          <w:b/>
        </w:rPr>
        <w:t>E. 6</w:t>
      </w:r>
    </w:p>
    <w:p>
      <w:r>
        <w:t>Nach Art. 59 Abs. 1 SVG gilt der Kausalzusammenhang zwischen dem Betrieb eines Motorfahrzeuges und dem Schaden als unterbrochen, wenn der Halter beweist, dass der Unfall durch höhere Gewalt oder grobes Verschulden des Geschädigten oder eines Dritten verursacht wurde, ohne dass ihn selbst oder Personen, für die er verantwortlich ist, ein Verschulden trifft und ohne dass fehlerhafte Beschaffenheit des Fahrzeuges zum Unfall beigetragen hat. a) Zunächst fragt sich, ob der Beklagten 2 grobe Fahrlässigkeit vorgeworfen werden kann. Das ist dann der Fall, wenn sie Sorgfaltspflichten verletzt hat, die sich jedem verständigen Menschen in der gleichen Lage aufdrängen mussten (vgl. BGE 93 II 352 und dort erwähnte Entscheide). aa) Nach Art. 48 Abs. 3 MFV darf "auf der Strasse ein Fahrzeug nur dann gewendet werden, wenn dies ohne Störung des Verkehrs geschehen kann". Diese Bestimmung trifft analog auf den vorliegenden Fall zu. Die Beklagte 2 durfte das ursprünglich am Strassenrand angehaltene Fahrzeug erst in den Verkehr einschalten, wenn sie sich davon überzeugt hatte, dass die Strasse frei war. Sie hatte daher nach Art. 25 Abs. 1 MFG auf den Verkehr auf der Fahrbahn Rücksicht zu nehmen und vorzusorgen, dass herannahende Fahrzeuge nicht behindert oder gefährdet würden (vgl. BGE 83 IV 33 ). Sie war verpflichtet, beim Abbiegen den Richtungsanzeiger zu stellen und sich darüber zu vergewissern, dass sie niemand die Fahrbahn versperrte (gl. BGE 76 IV 59 , BGE 78 IV 184 ). Zudem musste sie vor der Durchführung ihres Vorhabens in Rechnung stellen, dass die gegenüberliegende Einfahrt zum Parkplatz keine Strassenkreuzung BGE 95 II 333 S. 341 (Einmündung) im Sinne von Art. 26 Abs. 3 MFG war und dort daher überholt werden durfte. Die Vorinstanz stellt mit dem in der Strafuntersuchung beigezogenen Experten fest, dass vom ursprünglichen Standort des Fahrzeugs der Beklagten 2 - richtige Aufmerksamkeit vorausgesetzt - die Lichtkegel heranfahrender Fahrzeuge auf eine Entfernung von über 250 m, d.h. über die westlich zurückliegende Kuppe hinaus wahrnehmbar gewesen seien und dass die unmittelbare Sicht 170 m betragen habe. Die Beklagte hat nach ihrer eigenen Darstellung auf der Kuppe vorerst den Lichtstrahl der Scheinwerfer des vom Kläger 2 gesteuerten Fahrzeuges gesehen. Sie hatte daher zu entscheiden, ob sie die Strasse noch rechtzeitig überqueren konnte. Ob dazu 5-7 Sek. genügten, wie der Gutachter errechnete, oder ob nach der Auffassung der Beklagten 115-17 Sek. erforderlich waren, ist unerheblich. Auch kann sich die Beklagte 1 nicht darauf berufen, dass die Beklagte 2 nach Auffassung des Kantonsgerichts nicht damit rechnete, dass auf der fraglichen Strasse Geschwindigkeiten von 100 km gefahren werden. Denn es ist erfahrungsgemäss schwierig, nachts die Geschwindigkeit und die Entfernung eines herannahenden Fahrzeuges zuverlässig zu schätzen. Die Beklagte 2 musste daher umso grössere Vorsicht walten lassen, als sie nicht wusste, wieviel Zeit sie zum Überqueren der Strasse benötigte (vgl. BGE 82 II 538 , BGE 79 II 310 ). Die Strasse ist nach Feststellung des Kantonsgerichts 9 m breit, gut ausgebaut, übersichtlich und nachts zweckmässig beleuchtet. Die vom Kläger 2 im Zeitpunkt des Unfalls vom Kantonsgericht mit dem Experten angenommene Geschwindigkeit zwischen 100 bis 110 km war daher nach den Umständen nicht übersetzt. Im übrigen könnte die Beklagte 1 aber hier nichts für sich ableiten, wenn der Kläger 2 tatsächlich zu schnell gefahren wäre. Denn der Führer muss diejenige Geschwindigkeit in Rechnung stellen, die ein anderes Fahrzeug tatsächlich hat, nicht jene, die es haben sollte (vgl. BGE 83 IV 35 , BGE 82 II 538 ). bb)Die Beklagte 1 hält an der Auffassung fest, der Zusammenstoss sei darauf zurückzuführen, dass der Kläger 2 im Bereich der Kuppe ein Überholungsmanöver nicht rechzeitig abgeschlossen und mit seinem Wagen - in seiner Fahrrichtung gesehen - über die Strassenmitte hinausgeraten sei. Das Kantonsgericht vertritt mit dem Experten die Ansicht, es sei für den Zusammenstoss nicht kausal, ob der Kläger 2 vor oder BGE 95 II 333 S. 342 auf der Kuppe ein verkehrswidriges Überholmanöver durchgeführt habe. Aus den Bremsspuren ergebe sich, dass sich der Kläger 2 bei Reaktionsbeginn zweifellos auf der rechten Fahrbahnhälfte befunden habe. Verlängere man die Bremsspur der zwei linken Räder seines Fahrzeugs nach rückwärts, so schneide diese Verlängerung nach 11 m die Strassenmitte. Gehe man nun von 1/2 Sekunden Reaktionszeit bei 100 km Geschwindigkeit aus, so habe der Kläger 2 in dieser Zeit 17 m durchfahren. Dabei sei unberücksichtigt, dass die Reifen eines Fahrzeugs erst nach einer gewissen Bremsstrecke zu zeichnen beginnen. Der Reaktionsbeginn liege daher noch weiter zurück. Es dürfe daher mit Sicherheit davon ausgegangen werden, dass sich der Kläger 2 bei Reaktionsbeginn noch in seiner Fahrbahnhälfte befunden habe, möglicherweise eher gegen die Strassenmitte, weil er vorher das stillstehende Fahrzeug der Beklagten 2 zu überholen beabsichtigte. Diese über den natürlichen Kausalzusammenhang getroffenen Feststellungen sind tatsächlicher Art und daher für das Bundesgericht verbindlich (vgl. BGE 86 II 187 und dort erwähnte Entscheide, 93 II 89 Erw. 6). cc) Die Vorinstanz hat der Beklagten 1 den Beweis dafür auferlegt, dass die Beklagte 2 vor dem Abbiegen den Blinker gestellt habe. Die Beklagte 1 beanstandet diese Beweislastverteilung als bundesrechtswidrig. Auf diese Rüge käme nur dann etwas an, wenn zu entscheiden wäre, welche Partei die Folgen der Beweislosigkeit der streitigen Tatsache zu tragen habe. Wo aber, wie im vorliegenden Fall, die Vorinstanz auf Grund der Strafuntersuchungsakten, mithin auf dem Wege der Beweiswürdigung ermittelte, dass die Beklagte 2 beim Abbiegen die Richtungsänderung nicht angezeigt hatte, ist die Frage der Beweislast gegenstandslos (vgl. BGE 90 II 217 Erw. 3, 81 II 155, KUMMER, N. 23 zu Art. 8 ZGB ). Damit bleibt es bei der beanstandeten Feststellung, dass die Beklagte 2 den Wagen für den Kläger 2 überraschend in den Verkehr eingeschaltet hat. dd) Mit Recht hat die Vorinstanz auf Grund der festgestellten Verhältnisse erklärt, es sei unerheblich, ob die Beklagte 2 den Wagen zu spät oder zu langsam in Bewegung gesetzt habe, oder ob sie, was nicht sehr wahrscheinlich sei, am Orte des Zusammenstosses stehen geblieben sei. Massgebend ist nur, dass sie dem Kläger 2 die Fahrbahn versperrte und ihm das Vortrittsrecht BGE 95 II 333 S. 343 abschnitt. Dass die Beklagte 2 angeblich die Geschwindigkeit des Klägers 2 nicht richtig einschätzte, entlastet sie nicht. Sie durfte es nicht darauf ankommen lassen, dass es ihr nicht gelingen könnte, die Strasse rechtzeitig zu überqueren. Die falsche Beurteilung der Verkehrslage darf indessen der Beklagten 2 nicht als grobe Fahrlässigkeit zur Last gelegt werden. Daran ändert nichts, dass sie vor dem Einbiegen in die Strasse den Blinker nicht einschaltete. Zwar hätte sie durch diese Vorsichtsmassnahme den Kläger 2 zu grösserer Vorsicht und zur Mässigung der Geschwindigkeit veranlasst. Das schliesst aber nicht aus, dass sie auch unter diesen Umständen die Entfernung und die Geschwindigkeit des herannahenden Fahrzeuges nicht richtig eingeschätzt und ihr Vorhaben zu spät verwirklicht hätte, was die Hauptursache des Unfalles war. Die Fahrlässigkeit der Beklagten 2 war somit erheblich, jedoch nicht grob. b) Den Kläger 2 trifft kein Verschulden. Er hatte keine Veranlassung, auf der breiten und übersichtlichen Strasse mit mässiger Geschwindigkeit zu fahren und musste insbesondere nicht damit rechnen, dass die Beklagte 2 überraschend in die Fahrbahn einbiegen werde. Zudem ergeben sich aus den Feststellungen des angefochtenen Urteils keine Anhaltspunkte dafür, dass fehlerhafte Beschaffenheit des vom Kläger 2 gelenkten Fahrzeuges auf den Unfall eingewirkt hat.</w:t>
      </w:r>
    </w:p>
    <w:p>
      <w:r>
        <w:rPr>
          <w:b/>
        </w:rPr>
        <w:t>E. 7</w:t>
      </w:r>
    </w:p>
    <w:p>
      <w:r>
        <w:t>Da sich der Kläger 2 nicht entlasten kann, ist der Schaden nach Art. 60 Abs. 2 Satz 2 zu verteilen. Diese Vorschrift beruht auf der Vermutung, dass die Betriebsgefahr der am Unfall beteiligten Fahrzeuge gleich gross ist, weshalb der Schaden von den Haltern zu "gleichen Teilen" getragen werden muss, wenn nicht "besondere Umstände, namentlich das Verschulden, eine andere Verteilung rechtfertigen". Jeder Halter muss demnach das Verschulden der Gegenpartei beweisen; dass ihn kein Verschulden treffe, hat er nicht zu beweisen; sein Verschulden wird - im Gegensatz zur Haftung im Aussenverhältnis - nicht vermutet (vgl. BGE 94 II 181 Erw. 4, OFTINGER, a.a.O. Bd. II/2 S. 655). Die Rechtslage ist gleich wie in Art. 61 Abs. 1 SVG . der sinngemäss gleich lautet und sich ebenfalls mit der Schadensverteilung zwischen Haltern befasst (vgl. OFTINGER, a.a.O. Bd. II/2 S. 675). Die Beklagte 1 beanstandet, die Vorinstanz habe Art. 60 Abs. 2 SVG verletzt, weil sie das Verschulden der Beklagten 2 BGE 95 II 333 S. 344 doppelt in Rechnung gestellt und damit die Betriebsgefahren der Fahrzeuge in den Hingergrund gerückt habe. Diese Rüge ist unbegründet. Die Beklagte 1 übersieht, dass die Beklagte 2 ein ausschliessliches und erhebliches Verschulden trifft, ihr verkehrswidriges Verhalten somit die Hauptursache des Unfalles ist. Den konkreten Betriebsgefahren kommt daher als "besondere Umstände" (vgl. BGE 94 II 177 Erw. 2) im Rahmen der Gesamtverursachung nur eine untergeordnete Bedeutung zu. Infolgedessen kann nicht gesagt werden, die Vorinstanz habe das ihr zustehende Ermessen bei der Aufteilung des Schadens im Verhältnis von 20% (Kläger 2) zu 80% (Beklagte 1)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