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280</w:t>
      </w:r>
    </w:p>
    <w:p>
      <w:r>
        <w:t>Bundesgericht (BGE), 1969-01-01, DE</w:t>
      </w:r>
    </w:p>
    <w:p>
      <w:r>
        <w:rPr>
          <w:b/>
        </w:rPr>
        <w:t xml:space="preserve">Quelle: </w:t>
      </w:r>
      <w:r>
        <w:t>https://mcp.opencaselaw.ch/entscheid/bge_BGE_95_II_280</w:t>
      </w:r>
    </w:p>
    <w:p>
      <w:r>
        <w:t>FR: ATF 95 II 280</w:t>
      </w:r>
    </w:p>
    <w:p>
      <w:r>
        <w:t>IT: DTF 95 II 280</w:t>
      </w:r>
    </w:p>
    <w:p>
      <w:pPr>
        <w:pStyle w:val="Heading2"/>
      </w:pPr>
      <w:r>
        <w:t>Regeste</w:t>
      </w:r>
    </w:p>
    <w:p>
      <w:r>
        <w:t>Regeste Art. 29 Abs. 5 OG. Prozessuale Wirkungen der erst nach Ablauf der Berufungsfrist erfolgten Bezeichnung eines Parteivertreters durch das Bundesgericht.</w:t>
      </w:r>
    </w:p>
    <w:p>
      <w:r>
        <w:t>Regeste Art. 29 al. 5 OJ. Conséquences quant à la procédure de la désignation d'un mandataire par le Tribunal fédéral, laquelle a lieu après l'expiration du délai du recours en réforme.</w:t>
      </w:r>
    </w:p>
    <w:p>
      <w:r>
        <w:t>Regesto Art. 29 cpv. 5 OG. Conseguenze processuali della designazione d'un mandatario da parte del Tribunale federale, avvenuta solo dopo ch'è spirato il termine di ricorso per riforma.</w:t>
      </w:r>
    </w:p>
    <w:p>
      <w:pPr>
        <w:pStyle w:val="Heading2"/>
      </w:pPr>
      <w:r>
        <w:t>Volltext</w:t>
      </w:r>
    </w:p>
    <w:p>
      <w:r>
        <w:t>Bundesgericht (BGE) Band II 1969 BGE 95 II 280 Tribunal fédéral (ATF) Volume II 1969 BGE 95 II 280 Tribunale federale (DTF) Volume II 1969 BGE 95 II 280</w:t>
      </w:r>
    </w:p>
    <w:p>
      <w:r>
        <w:t>Regeste Art. 29 Abs. 5 OG. Prozessuale Wirkungen der erst nach Ablauf der Berufungsfrist erfolgten Bezeichnung eines Parteivertreters durch das Bundesgericht. Regeste Art. 29 al. 5 OJ. Conséquences quant à la procédure de la désignation d'un mandataire par le Tribunal fédéral, laquelle a lieu après l'expiration du délai du recours en réforme. Regesto Art. 29 cpv. 5 OG. Conseguenze processuali della designazione d'un mandatario da parte del Tribunale federale, avvenuta solo dopo ch'è spirato il termine di ricorso per riforma.</w:t>
      </w:r>
    </w:p>
    <w:p>
      <w:r>
        <w:t>Urteilskopf 95 II 280 35. Auszug aus dem Urteil der I. Zivilabteilung vom 4. Juni 1969 i.S. Casutt gegen Walser. Regeste Art. 29 Abs. 5 OG . Prozessuale Wirkungen der erst nach Ablauf der Berufungsfrist erfolgten Bezeichnung eines Parteivertreters durch das Bundesgericht. Erwägungen ab Seite 280 BGE 95 II 280 S. 280 Die erst nach Ablauf der Berufungsfrist gemäss Art. 29 Abs. 5 OG erfolgte Ernennung eines Vertreters rechtfertigt auch den zusätzlichen Schriftenwechsel. Auf die als "Ergänzung zur Berufung" bezeichnete Eingabe des ernannten Vertreters vom 8. April 1969 und die Vernehmlassung des Beklagten hiezu ist daher einzugehen. Art. 55 OG betreffend die Anforderungen, denen eine Berufungsschrift genügen muss, gilt jedoch auch für die Ergänzung. Die Ernennung eines Vertreters und der zusätzliche Schriftenwechsel haben nicht zur Folge, dass die vom Kläger persönlich eingereichte Berufungsschrift unbeachtlich würde. Der ernannte Vertreter hat sie denn auch nicht widerrufen, sondern nur ergänzt. Eine Ausnahme macht das Rechtsbegehren: Der Vertreter beantragt ausser der Aberkennung der in Betreibung gesetzten Forderung von Fr. 37'000.-- nebst Zins nur noch die Zusprechung von Fr. 1'000.-- nebst Zins. Er setzt also die Gegenforderung des Klägers von Fr. 46'300.-- auf Fr. 1'000.-- herab.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