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204</w:t>
      </w:r>
    </w:p>
    <w:p>
      <w:r>
        <w:t>Bundesgericht (BGE), 1969-01-01, DE</w:t>
      </w:r>
    </w:p>
    <w:p>
      <w:r>
        <w:rPr>
          <w:b/>
        </w:rPr>
        <w:t xml:space="preserve">Quelle: </w:t>
      </w:r>
      <w:r>
        <w:t>https://mcp.opencaselaw.ch/entscheid/bge_BGE_95_II_204</w:t>
      </w:r>
    </w:p>
    <w:p>
      <w:r>
        <w:t>FR: ATF 95 II 204</w:t>
      </w:r>
    </w:p>
    <w:p>
      <w:r>
        <w:t>IT: DTF 95 II 204</w:t>
      </w:r>
    </w:p>
    <w:p>
      <w:pPr>
        <w:pStyle w:val="Heading2"/>
      </w:pPr>
      <w:r>
        <w:t>Regeste</w:t>
      </w:r>
    </w:p>
    <w:p>
      <w:r>
        <w:t>Regeste Berufung gegen Vorentscheid über die örtliche Zuständigkeit, Art. 49 OG. Art. 278 Abs. 2 SchKG enthält keine bundesrechtliche Vorschrift über die örtliche Zuständigkeit für die Arrestprosequierungsklage.</w:t>
      </w:r>
    </w:p>
    <w:p>
      <w:r>
        <w:t>Regeste Recours contre une décision préjudicielle sur la compétence à raison du lieu, art. 49 OJ. L'art. 278 al. 2 LP ne contient aucune prescription de droit fédéral sur le for de l'action en validation du séquestre.</w:t>
      </w:r>
    </w:p>
    <w:p>
      <w:r>
        <w:t>Regesto Ricorso contro una decisione pregiudiziale sulla competenza per territorio, art. 49 OG. L'art. 278 cpv. 2 LEF non contiene nessuna prescrizione di diritto federale sul foro dell'azione di convalidazione del sequestro.</w:t>
      </w:r>
    </w:p>
    <w:p>
      <w:pPr>
        <w:pStyle w:val="Heading2"/>
      </w:pPr>
      <w:r>
        <w:t>Erwägungen</w:t>
      </w:r>
    </w:p>
    <w:p>
      <w:r>
        <w:rPr>
          <w:b/>
        </w:rPr>
        <w:t>E. 1</w:t>
      </w:r>
    </w:p>
    <w:p>
      <w:r>
        <w:t>Gegen selbständige Vor- und Zwischenentscheide über BGE 95 II 204 S. 206 die örtliche Zuständigkeit ist wegen Verletzung bundesrechtlicher Vorschriften über die örtliche oder sachliche Zuständigkeit die Berufung zulässig ( Art. 49 OG ). Der Entscheid, mit dem die Vorinstanz ihre örtliche Zuständigkeit verneint hat, unterliegt somit der Berufung, wenn der nach Art. 46 OG erforderliche Streitwert gegeben ist (was hier zutrifft) und wenn bundesrechtliche Vorschriften über die örtliche Zuständigkeit in Frage stehen. Die Klägerin macht geltend, die Vorinstanz habe Bundesrecht, nämlich Art. 278 Abs. 2 SchKG , dadurch verletzt, dass sie die Appellation wegen Fehlens der örtlichen Zuständigkeit "desert", d.h. dahingefallen erklärte.</w:t>
      </w:r>
    </w:p>
    <w:p>
      <w:r>
        <w:rPr>
          <w:b/>
        </w:rPr>
        <w:t>E. 2</w:t>
      </w:r>
    </w:p>
    <w:p>
      <w:r>
        <w:t>Die Arrestprosequierungsklage steht mit dem Arrest inhaltlich in keinem Zusammenhang. Sie ist kein betreibungsrechtliches Zwischenverfahren, sondern eine selbständige Zivilklage. Deshalb ist der Gerichtsstand des Arrestes für Forderungsklagen in der Arrestbetreibung nicht durch das Bundesrecht vorgeschrieben. Es steht den Kantonen frei, den Gerichtsstand des Arrestortes unter Vorbehalt von Art. 59 BV vorzusehen (vgl. JÄGER, Kommentar zum SchKG, 3. Aufl. N. 11 zu Art. 278; FRITZSCHE, Schuldbetreibung und Konkurs, 2. Aufl., 2 Halbband S. 238; BGE 57 II 114 , BGE 85 II 363 , BGE 91 II 45 ). Ein bundesrechtlicher Anspruch des Arrestgläubigers, die Arrestprosequierungsklage am Arrestort anbringen zu können, besteht nicht. Ist es aber dem kantonalen Recht anheimgestellt, den Gerichtsstand des Arrestes einzuführen, dann ist auch die im vorliegenden Fall streitige Frage, ob dieser Gerichtsstand bestehen bleibe, wenn der Arrest während des Prosequierungsprozesses dahinfällt, vom kantonalen Recht beherrscht. Denn es besteht auch kein bundesrechtlicher Anspruch auf Erhaltung des einmal begründeten Gerichtsstandes. Auf die Berufung kann daher nicht eingetreten werden. Die Klägerin glaubt zu Unrecht, sich darauf berufen zu können, dass nach BGE 85 II 364 f. der Richter des Prosekutionsverfahrens sich nicht um die Gültigkeit des Arrestes zu kümmern, sondern nur die Forderung des Arrestgläubigers zu beurteilen habe. Denn im vorliegenden Falle steht nicht die Gültigkeit des Arrestes zur Diskussion, sondern es handelt sich darum, ob der Gerichtsstand des Arrestortes durch das BGE 95 II 204 S. 207 Bundesrecht vorgeschrieben werde. Das ist aber im erwähnten Entscheid gerade verneint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