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132</w:t>
      </w:r>
    </w:p>
    <w:p>
      <w:r>
        <w:t>Bundesgericht (BGE), 1969-01-01, FR</w:t>
      </w:r>
    </w:p>
    <w:p>
      <w:r>
        <w:rPr>
          <w:b/>
        </w:rPr>
        <w:t xml:space="preserve">Quelle: </w:t>
      </w:r>
      <w:r>
        <w:t>https://mcp.opencaselaw.ch/entscheid/bge_BGE_95_II_132</w:t>
      </w:r>
    </w:p>
    <w:p>
      <w:r>
        <w:t>FR: ATF 95 II 132</w:t>
      </w:r>
    </w:p>
    <w:p>
      <w:r>
        <w:t>IT: DTF 95 II 132</w:t>
      </w:r>
    </w:p>
    <w:p>
      <w:pPr>
        <w:pStyle w:val="Heading2"/>
      </w:pPr>
      <w:r>
        <w:t>Regeste</w:t>
      </w:r>
    </w:p>
    <w:p>
      <w:r>
        <w:t>Regeste Art. 8 ZGB; 44 und 339 OR. 1. Der Dienstpflichtige hat zu beweisen, dass der Dienstherr bei objektiver Betrachtung eine ihm obliegende Schutzmassregel versäumt hat (Erw. 1). 2. Wann kann man dem Dienstherrn vorwerfen, dem Dienstpflichtigen nicht ausdrücklich verboten zu haben, bei der Bedienung einer Maschine eine bestimmte gefährliche Bewegung auszuführen? (Erw. 1). 3. Art. 339 OR verpflichtet den Dienstherrn, den Dienstpflichtigen nicht nur gegen objektiv vermeidbare Betriebsgefahren zu schützen, sondern auch gegen solche, die sich erst infolge einer Unachtsamkeit oder Unvorsichtigkeit des Dienstpflichtigen verwirklichen, soweit diese nicht ausserhalb der normalen Voraussehbarkeit liegen (Erw. 3). 4. Anwendung dieses Grundsatzes auf eine zwar gut unterhaltene Hotel-Wäschemange, bei der jedoch die Schutzvorrichtungen die Gefahr einer Verstümmelung nicht ausschliessen, wenn die sie bedienende Person unvorsichtigerweise die Hand oberhalb der Schutzstange in die Maschine einführt (Erw. 3). 5. Herabsetzung der Entschädigung wegen Selbstverschuldens des Verletzten (Erw. 4).</w:t>
      </w:r>
    </w:p>
    <w:p>
      <w:r>
        <w:t>Regeste Art. 8 CC; 44 et 339 CO. 1. Il appartient à l'employé de prouver que l'employeur a objectivement omis de prendre une mesure de sécurité qui lui incombait (consid. 1). 2. Quand peut-on faire grief à l'employeur de n'avoir pas interdit expressément à son employé de faire un geste dangereux dans l'utilisation d'une machine (consid. 1)? 3. L'art. 339 CO oblige l'employeur à prémunir ses employés non seulement contre les risques d'exploitation objectivement évitables, mais aussi contre ceux qui ne se réalisent que par une inattentionou une imprudence de l'employé, pour autant que celles-ci ne sortent pas des prévisions normales (consid. 2). 4. Application de ce principe à l'utilisation, dans un hôtel, d'une calandre en bon état de fonctionnement, mais dont le dispositif de sécurité n'exclut pas le risque d'une mutilation, lorsque la lingère qui s'en sert commet l'imprudence de passer la main par-dessus la barre de protection (consid. 3). 5. Réduction de l'indemnité en raison de la faute de la victime (consid. 4).</w:t>
      </w:r>
    </w:p>
    <w:p>
      <w:r>
        <w:t>Regesto Art. 8 CC; 44 e 339 CO. 1. Appartiene all'impiegato provare che il padrone ha oggettivamente tralasciato di prendere una misura di sicurezza che gli incombeva (consid. 1). 2. Quando si può rimproverare al padrone di non avere esplicitamente proibito all'impiegato di fare un gesto pericoloso nell'uso di una macchina? (consid. 1). 3. L'art 339 CO obbliga il padrone a premunire i propri impiegati non solo contro i rischi d'esercizio oggettivamente evitabili, ma anche contro quelli che non si verificano che in seguito a disattenzione o ad imprudenza dell'impiegato, purchè queste non escano dalle normali previsioni (consid. 2). 4. Applicazione di questo principio all'uso, in un albergo, di una calandra in buono stato, ma il cui dispositivo di sicurezza non esclude il rischio di una mutilazione, quando la persona che se ne serve commette l'imprudenza di passare la mano al di sopra della sbarra di protezione (consid. 3). 5. Riduzione dell'indennità per la colpa della vittima (consid. 4)</w:t>
      </w:r>
    </w:p>
    <w:p>
      <w:pPr>
        <w:pStyle w:val="Heading2"/>
      </w:pPr>
      <w:r>
        <w:t>Erwägungen</w:t>
      </w:r>
    </w:p>
    <w:p>
      <w:r>
        <w:rPr>
          <w:b/>
        </w:rPr>
        <w:t>E. 1</w:t>
      </w:r>
    </w:p>
    <w:p>
      <w:r>
        <w:t>Aux termes de l'art. 339 CO, l'employeur est tenu, en tant que les conditions particulières du contrat et la nature du travail permettent équitablement de l'exiger, de prendre les mesures de sécurité propres à écarter les risques de l'exploitation. La jurisprudence a précisé que cette obligation de sécurité imposait à l'employeur un double devoir. D'une part, il doit munir les installations et les machines dangereuses de dispositifs de sécurité adéquats selon l'état de la technique (RO 90 II 229). D'autre part, il est tenu d'instruire les employés des risques auxquels ils sont exposés et de leur prescrire le comportement à adopter pour les éviter. La nature et l'étendue des précautions qui incombent à l'employeur sont déterminées dans une large mesure par la personne de l'employé, sa formation, ses capacités (RO 89 II 120 et la jurisprudence citée). En l'espèce, la cour cantonale a considéré que, protégeant non pas contre tous les dangers, mais contre le risque que présente un usage normal de la calandre, le système de sécurité était suffisant au regard de la technique en 1961, à la condition toutefois que l'employeur apporte la preuve qu'il l'avait assorti d'une interdiction de faire la manoeuvre dangereuse, soit de passer la main par-dessus la barre de sécurité, ainsi que d'une surveillance assez stricte pour prohiber toute infraction à cette défense. Or elle estime que le recourant a échoué dans la preuve d'une interdiction expresse faite à l'intimée de passer la main par-dessus la barre de sécurité, ainsi que d'une surveillance suffisante. Assurément, l'obligation imposée à l'employeur d'instruire et de surveiller l'employé dépend du risque que présente l'utilisation de la machine. Le juge doit néanmoins apprécier BGE 95 II 132 S. 138 séparément deux facteurs distincts. Tout d'abord, il déterminera le risque que présente la machine, en soi, et recherchera si les dispositifs de sécurité sont suffisants pour qu'elle puisse être confiée à un employé, compte tenu de sa formation et de son aptitude. Puis il examinera si l'employeur a satisfait à son devoir d'instruction et de surveillance. En revanche, l'appréciation du risque que constitue une installation mécanique ne saurait être subordonnée à la preuve que l'employeur ait satisfait à des exigences spéciales, comme l'interdiction formelle de faire tel mouvement déterminé, sanctionnée par un contrôle. Une pareille condition impliquerait un renversement du fardeau de la preuve. En vertu de l'art. 8 CC, c'est à l'employé qu'il appartient de prouver que l'employeur a objectivement omis de prendre une mesure de sécurité qui lui incombait (RO 31 II 237, 60 II 117 s., 90 II 229). Sans doute s'agit-il de la preuve d'un fait négatif et, en pareil cas, la jurisprudence, fondée sur l'art. 2 CC, impose à la partie non instante à la preuve l'obligation de prendre une part active à la procédure probatoire en rapportant elle-même la preuve contraire, l'échec de cette preuve contraire pouvant constituer un indice (RO 65 III 137; 66 II 147 ; 74 IV 94 ). Encore faut-il que le fait négatif ait été articulé par la partie qui prétend en déduire un droit. Or le jugement déféré ne constate rien de tel. L'intimée a allégué devant la juridiction cantonale que la machine était défectueuse, que personne n'avait attiré son attention sur le danger de l'appareil, qu'elle n'avait pas compris les explications données. Ce sont autant de points où ses preuves ont échoué. En revanche, elle n'a pas invoqué l'absence d'ordres formels ni le défaut de surveillance. De plus, il est excessif dans les circonstances de l'espèce d'exiger de l'employeur qu'il interdise expressément à son employée de passer la main par-dessus la barre de sécurité. Il est vrai que, dans deux arrêts (RO 83 II 30, 89 II 120), le Tribunal fédéral a fait grief à l'employeur de n'avoir pas donné un ordre exprès à son employé. Mais dans les deux cas, celui-ci s'exposait sous ses yeux à un risque évident, en se comportant imprudemment lors d'un transport. Il appartenait dès lors à l'employeur de réagir. Rien de tel en l'espèce où le geste imprudent, d'ailleurs instantané, s'est produit en l'absence de l'employeur. L'intimée était familiarisée avec l'emploi de la machine. Elle avait été initiée à cet emploi et rendue attentive BGE 95 II 132 S. 139 au danger que l'on courait en passant la main par-dessus la barre de sécurité. Elle était consciente de ce danger, qui du reste est évident. Elle ne travaillait jamais seule à la calandre, mais toujours avec une autre employée, le plus souvent dlle Macchietto, présente le jour de l'accident. On ne saurait exiger davantage du recourant en ce qui concerne l'instruction de l'intimée. Au demeurant, une interdiction expresse n'aurait rien ajouté à la mise en garde que constate le jugement déféré. Le grief d'une surveillance insuffisante n'est pas précisé par les juges cantonaux. Le recourant avait d'autant moins de raisons de veiller par des inspections à ce que la manutention fût correcte que l'intimée travaillait toujours à la calandre avec une employée plus expérimentée. Et des contrôles intermittents n'auraient pas empêché que, dans l'intervalle, les employées relâchent leur attention et commettent une imprudence dont elles se fussent gardées en présence de l'employeur. Au surplus, il est pour le moins douteux qu'une relation de cause à effet soit établie entre le défaut de contrôles sur place et l'accident. Le jugement ne constate pas un pareil lien de causalité. Le recourant ayant ainsi satisfait à son obligation d'instruire son employée du fonctionnement et des risques de l'utilisation de la calandre, il faut examiner si, en soi, l'appareil était pourvu d'un dispositif de sécurité suffisant.</w:t>
      </w:r>
    </w:p>
    <w:p>
      <w:r>
        <w:rPr>
          <w:b/>
        </w:rPr>
        <w:t>E. 2</w:t>
      </w:r>
    </w:p>
    <w:p>
      <w:r>
        <w:t>Il a été jugé que, selon l'art. 339 CO, l'employeur n'est tenu de prémunir son personnel que contre les risques normaux de l'exploitation. Il n'a pas à tenir compte d'un risque qu'un minimum de prudence permet d'écarter (RO 77 II 308; 90 II 229 ). Mais cela ne limite pas son obligation à prévenir les seuls accidents inévitables, qui se produiraient même si l'employé respectait en permanence les règles de prudence requises. Sous réserve d'une faute grossière de sa part, l'employé n'a pas à supporter les risques d'exploitation inhérents à l'emploi de machines dont profite l'employeur. Dans l'industrie et dans les branches de l'artisanat pour lesquelles l'affiliation à la Caisse nationale d'assurance en cas d'accidents est obligatoire, l'assurance procure une couverture générale convenable, qui s'étend à tous les risques d'exploitation, jusqu'au moindre incident, et même aux accidents non professionnels. Dans d'autres branches de l'industrie et de l'artisanat, comme la blanchisserie ou l'hôtellerie, aucune assurance obligatoire n'est instituée, quand bien même les BGE 95 II 132 S. 140 risques d'exploitation, pour certains employés, sont aussi grands que pour de nombreux ouvriers affiliés obligatoirement à la Caisse nationale. Ni le législateur, ni l'administration n'ont tiré les conséquences qu'impose l'emploi généralisé de machines dans toutes les formes d'exploitation et que commanderait d'ailleurs, à elle seule, l'évolution des conceptions sociales. Sans doute, les conventions collectives tendent-elles à pallier ces insuffisances. Mais elles sont loin de compte. D'une part, l'affiliation aux syndicats patronaux et ouvriers n'est pas générale. Et c'est vrai surtout pour les ouvriers étrangers. D'autre part, les prestations minimales des assurances contre les accidents qu'imposent les conventions collectives sont insuffisantes. Et beaucoup d'employeurs ne dépassent pas le minimum prescrit, quand ils s'y tiennent. En l'espèce, la convention collective prévoit l'assurance pour une indemnité de 20 000 francs en cas d'invalidité complète et le recourant n'a contracté une assurance que pour une somme de 10 000 francs. L'insuffisance d'une pareille assurance est patente. Le système de prévention sociale actuellement en vigueur présente ainsi une lacune choquante. Seule une application sévère de l'art. 339 CO permet de tempérer l'injustice que cette lacune entraîne pour les employés qui sont victimes d'accidents du travail. Aussi le devoir de diligence que cette disposition légale impose à l'employeur doit-il être apprécié selon des exigences rigoureuses. Appliqué avec sévérité, pour les motifs exposés ci-dessus, l'art. 339 CO oblige l'employeur à prémunir ses employés non seulement contre les risques d'exploitation objectivement évitables, mais aussi contre ceux qui ne se réalisent que par une inattention ou une imprudence de l'employé, pour autant que celles-ci ne sortent pas des prévisions normales. Certes, l'employé doit agir avec attention et diligence. Mais l'employeur doit compter, dans la prévention des accidents, avec ceux que l'on peut prévoir selon le cours ordinaire des choses, compte tenu de l'inattention, voire de l'imprudence de l'employé. L'obligation de sécurité que la loi impose à l'employeur comprend ainsi la prévention de tout accident qui n'est pas dû à un comportement imprévisible et constitutif d'une faute grave de la victime.</w:t>
      </w:r>
    </w:p>
    <w:p>
      <w:r>
        <w:rPr>
          <w:b/>
        </w:rPr>
        <w:t>E. 3</w:t>
      </w:r>
    </w:p>
    <w:p>
      <w:r>
        <w:t>Il est constant que, lors de l'accident, la calandre du recourant était en bon état de fonctionnement. En particulier, BGE 95 II 132 S. 141 elle ne présentait aucune défectuosité dans le fonctionnement du système de sécurité. En soi, le dispositif n'exclut pas tout risque, du fait qu'il n'empêche pas la lingère de passer la main par-dessus la barre de sécurité. Tant que les doigts restent sous cette barre, il n'y a aucun danger. Il ressort des croquis et des photographies versées au dossier que la lingère, introduisant le linge, le pousse, les mains à plat, sous la calandre et que normalement, s'il ne se produit pas d'incident, son travail s'effectue sous la barre de sécurité. Mais cette pièce est placée assez bas par rapport à l'axe du rouleau. Il est ainsi facile de passer la main par-dessus la barre, entre celle-ci et le rouleau. Le jugement déféré constate que c'est une manoeuvre dangereuse qui est la cause de l'accident caractéristique mais heureusement rare provoqué par ce genre de machine. L'emploi de la calandre du recourant présentait donc un risque grave, soit le risque d'une mutilation. Certes, cet accident se produit rarement. Mais la réalisation du risque doit être envisagée. Il est vrai aussi que le risque en question est évident. L'employé peut éviter qu'un accident se produise, au prix d'une attention constante et du respect de quelques règles de prudence élémentaires. Mais c'est un fait d'expérience que pour un tel travail, exécuté par deux jeunes femmes, une inattention ou une distraction, fautive ou non, se produira fatalement une fois ou l'autre, l'accoutumance au danger aidant. Il est naturel, ainsi que le relève l'expert, que lorsqu'une pièce de linge passe difficilement sous la barre et grippe la machine, une ouvrière passe la main par-dessus la barre afin de donner une pression sur celle-ci, sans arrêter au préalable la machine. Un pareil geste constitue certes une imprudence et une infraction aux instructions reçues, mais il se produit, comme le prouvent les accidents, si rares soient-ils. Dès lors, il incombait au recourant, soit de pourvoir la calandre d'un dispositif de sûreté empêchant de passer la main au-dessus de la barre, soit, si cela se révélait impossible ou trop coûteux, de renoncer à confier cet appareil à des employées non qualifiées et qui n'avaient reçu qu'une formation générale rudimentaire, comme l'intimée. Assurément, ce n'est qu'au début de l'année 1965, soit plus de trois ans après l'accident, que le fabricant de cette calandre l'a munie d'un système de sécurité plus perfectionné, par lequel le rouleau est soulevé dès que la main entre en contact BGE 95 II 132 S. 142 avec une grille de protection. Et ce nouveau dispositif, qui n'existait pas encore lors de l'accident, ne pouvait être installé sans grands frais sur la machine du recourant. Le jugement déféré constate cependant que d'autres constructeurs ont placé sur leurs machines des grilles de sécurité moins perfectionnées, mais suffisantes pour empêcher, dans une certaine mesure tout au moins, que l'employé ne passe la main par-dessus la barre de sécurité. Si vraiment le travail se fait sous la barre de sécurité, l'installation d'une grille ou d'un boîtier de protection, amovible au besoin, au-dessus de la barre ne paraît ni difficile ni coûteuse. Ainsi, le recourant n'a pas satisfait à son obligation de pourvoir sa calandre d'un dispositif de sécurité suffisant pour écarter un risque grave, dont la réalisation, même si elle implique une inattention de l'employé, apparaît possible selon une appréciation objective, compte tenu des qualifications du personnel auquel la machine était confiée. Dès lors, le recourant est en principe responsable du dommage subi par l'intimée.</w:t>
      </w:r>
    </w:p>
    <w:p>
      <w:r>
        <w:rPr>
          <w:b/>
        </w:rPr>
        <w:t>E. 4</w:t>
      </w:r>
    </w:p>
    <w:p>
      <w:r>
        <w:t>Les parties ne remettent pas en cause le montant du dommage subi par l'intimée, que la cour cantonale a arrêté à 74 123 francs. Elles admettent également toutes deux que l'indemnité doit être réduite, en vertu de l'art. 44 CO auquel renvoie l'art. 99 al. 3 CO, pour tenir compte de la faute concurrente de la victime. En revanche, les parties divergent d'opinion sur la mesure de la réduction. Le jugement déféré alloue à l'intimée une indemnité égale à 40% du dommage subi. Dans ses conclusions subsidiaires, le recourant demande que la réduction soit majorée et l'indemnité fixée à 10% du dommage seulement. Par son recours joint, l'intimée conclut au contraire à l'allocation d'une indemnité supérieure, égale à 60% du dommage. Les premiers juges ont retenu avec raison une faute concomitante à la charge de l'intimée. Le danger était évident. Elle y avait été rendue attentive. Elle avait compris la gravité du risque. Elle pouvait éviter l'accident en apportant à son travail une attention constante et en s'abstenant d'une manoeuvre dont le caractère imprudent ne lui avait pas échappé. D'autre part, c'est en posant des exigences sévères quant au devoir de diligence de l'employeur que l'on admet une infraction du recourant à son obligation de sécurité. Dès lors, la faute de l'employeur doit être qualifiée en l'espèce de légère. BGE 95 II 132 S. 143 La fixation de l'indemnité relève surtout de l'appréciation du juge du fait. La cour cantonale a vu et entendu les parties, procédé à une inspection locale et formé sa conviction sur les circonstances de la cause par des constatations directes. Elle était ainsi à même d'apprécier la mesure de la réduction des dommages-intérêts selon l'art. 44 CO. On peut dès lors considérer qu'en arrêtant l'indemnité à 40% du dommage, la juridiction vaudoise n'a pas excédé les limites de son pouvoir d'appréciation, ni partant violé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