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492</w:t>
      </w:r>
    </w:p>
    <w:p>
      <w:r>
        <w:t>Bundesgericht (BGE), 1955-03-16, DE</w:t>
      </w:r>
    </w:p>
    <w:p>
      <w:r>
        <w:rPr>
          <w:b/>
        </w:rPr>
        <w:t xml:space="preserve">Quelle: </w:t>
      </w:r>
      <w:r>
        <w:t>https://mcp.opencaselaw.ch/entscheid/bge_BGE_94_I_492</w:t>
      </w:r>
    </w:p>
    <w:p>
      <w:r>
        <w:t>FR: ATF 94 I 492</w:t>
      </w:r>
    </w:p>
    <w:p>
      <w:r>
        <w:t>IT: DTF 94 I 492</w:t>
      </w:r>
    </w:p>
    <w:p>
      <w:pPr>
        <w:pStyle w:val="Heading2"/>
      </w:pPr>
      <w:r>
        <w:t>Regeste</w:t>
      </w:r>
    </w:p>
    <w:p>
      <w:r>
        <w:t>Regeste Schutz der Gewässer gegen Verunreinigung. BG vom 16. März 1955. 1. Das GSchG hat in Art. 3 Abs. 1 eine abschliessende Regelung getroffen (Erw. 1). 2. Grundsatz der Verhältnismässigkeit (Erw. 4). 3. Massnahmen zum Schutze der Gewässer, die den Bürger weniger belasten als ein Bauverbot: a) Zuleitung in eine Kanalisation? (Erw. 5a). b) Einleitung in einen Vorfluter? (Erw. 5b). c) Versickerung der Abwässer? (Erw. 5c). d) Bau einer abflusslosen Sammelgrube? (Erw. 5d). 4. Voraussetzungen für die Bewilligung einer abflusslosen Sammelgrube (Erw. 5d/aa). 5. Eine frühere Entscheidung ist nicht unabänderlich (Erw. 6).</w:t>
      </w:r>
    </w:p>
    <w:p>
      <w:r>
        <w:t>Regeste Protection des eaux contre la pollution. LF du 16 mars 1955. 1. L'art. 3 al. 1 de cette loi contient une règle exhaustive (consid. 1). 2. Principe dit de la proportionnalité (consid. 4). 3. Mesures tendant à la protection des eaux, qui constituent, pour le citoyen, une charge moinslourde qu'une interdiction de construire: a) Apport à une canalisation? (consid. 5a). b) Apport à un exutoire? (consid. 5b). c) Ecoulement par infiltration? (consid. 5c). d) Construction d'une fosse d'accumulation sans écoulement? (consid. 5d). 4. Conditions auxquelles est subordonnée l'autorisation d'établir une fosse d'accumulation sans écoulement (consid. 5d/aa). 5. Une décision antérieure n'est pas irrévocable (consid. 6).</w:t>
      </w:r>
    </w:p>
    <w:p>
      <w:r>
        <w:t>Regesto Protezione delle acque dall'inquinamento. LF del 16 marzo 1955. 1. L'art. 3 cpv. 1 LPA contiene una regola tassativa (consid. 1). 2. Principio della proporzionalità (consid. 4). 3. Provvedimenti per la protezione delle acque, che aggravano il cittadino in modo meno oneroso d'un divieto di costruire: a) Immissione in una canalizzazione? (consid. 5a). b) Immissione in un fosso di scolo? (consid. 5b). c) Infiltrazione delle acque? (consid. 5c). d) Costruzione d'un pozzo nero senza deflusso? (consid. 5d). 4. Requisiti per l'autorizzazione di costruire un pozzo nero senza deflusso (consid. 5d/aa). 5. Una decisione anteriore non è irrevocabile (consid. 6).</w:t>
      </w:r>
    </w:p>
    <w:p>
      <w:pPr>
        <w:pStyle w:val="Heading2"/>
      </w:pPr>
      <w:r>
        <w:t>Erwägungen</w:t>
      </w:r>
    </w:p>
    <w:p>
      <w:r>
        <w:rPr>
          <w:b/>
        </w:rPr>
        <w:t>E. 1</w:t>
      </w:r>
    </w:p>
    <w:p>
      <w:r>
        <w:t>Der Regierungsrat stützt seinen ablehnenden Entscheid (soweit er Fragen der Reinhaltung der Gewässer betrifft) allein BGE 94 I 492 S. 495 auf das kantonale Gewässerschutzgesetz. Das Obergericht beruft sich - mit Recht - hinsichtlich der Frage, ob das Sammeln von Abwasser in einer geschlossenen Grube zulässig sei, auf Bundesrecht. Es glaubt aber, das eidgenössische Gewässerschutzgesetz (GSchG) enthalte keine Vorschrift über das Versickern von Abwässern. Es stützt sich daher in den Erwägungen zu diesem Punkt auf das kantonale Gewässerschutzgesetz vom 22. März 1954. Nach Art. 3 Abs. 1 GSchG dürfen Abwässer jeder Art, insbesondere solche aus Wohn- und Unterkunftsstätten, nur mit Bewilligung des Kantons mittelbar oder unmittelbar in Gewässer eingebracht werden. Durch diese Bestimmung wird ein Verbot mit Erlaubnisvorbehalt aufgestellt. Nach dem Sinn des Gesetzes soll die Erlaubnis nur zurückhaltend und unter sichernden Bedingungen erteilt werden ( BGE 92 I 494 Erw. 2). Mit dieser Regelung ist dem Kanton stillschweigend auch die Befugnis verliehen, eine solche Bewilligung zu verweigern, wenn zu befürchten ist, dass trotz der vorgesehenen Beseitigung des Abwassers öffentliche oder private, ober- oder unterirdische Gewässer verschmutzt würden. Was allgemein für die Beseitigung von Abwässern gilt, muss auch für das Beiseiteschaffen von Schmutzwasser durch Versickern im besonderen zutreffen. Das Bundesgesetz über den Gewässerschutz hat mit Art. 3 Abs. 1 GSchG eine abschliessende Regelung getroffen, wie dies für Art. 2 Abs. 1 GSchG zutrifft (vgl. BGE 84 I 155 ff., bestätigt durch BGE 86 I 187 ). Kantonale Rechtssätze stellen auch hier nur Ausführungsbestimmungen dar - entgegen der von MEIER-HAYOZ (Kommentar zum Sachenrecht, N. 43 zur Art. 664 ZGB ) geäusserten Meinung. Das von den kantonalen Behörden ausgesprochene Bauverbot wegen ungenügender Beseitigung der häuslichen Abwässer muss demnach allein vor dem eidgenössischen Gewässerschutzgesetz Bestand haben.</w:t>
      </w:r>
    </w:p>
    <w:p>
      <w:r>
        <w:rPr>
          <w:b/>
        </w:rPr>
        <w:t>E. 2</w:t>
      </w:r>
    </w:p>
    <w:p>
      <w:r>
        <w:t>und 3. - (Entgegennahme einer Staatsrechtlichen Beschwerde als Verwaltungsgerichtsbeschwerde).</w:t>
      </w:r>
    </w:p>
    <w:p>
      <w:r>
        <w:rPr>
          <w:b/>
        </w:rPr>
        <w:t>E. 4</w:t>
      </w:r>
    </w:p>
    <w:p>
      <w:r>
        <w:t>In Erwägung 1 wurde ausgeführt, dass durch Art. 3 Abs. 1 GSchG ein Verbot mit Erlaubnisvorbehalt aufgestellt wird und dass die Kantone allenfalls eine Bewilligung verweigern dürfen, wenn dies der Schutz der Gewässer erheischt. Bei der Wahl zwischen mehreren, an sich möglichen Schutzmassnahmen BGE 94 I 492 S. 496 ist der verfassungsmässige Grundsatz der Verhältnismässigkeit der Verwaltungsmassnahmen zu beachten (vgl. BGE 90 I 343 c). Die Verweigerung der Baubewilligung ist ein schwerer Eingriff und darf im Rahmen von Art. 3 GSchG nur verfügt werden, wenn andere, weniger einschneidende Verwaltungsmassnahmen erfolglos waren oder angesichts der besonderen Umstände des Falles von vorneherein nicht als geeignet erscheinen, die im Gewässerschutzgesetz angestrebte Ordnung zu sichern (vgl. BGE 93 I 94 Erw. 3). Diese Grundsätze bedeuten für den vorliegenden Fall, dass das von den Vorinstanzen bestätigte Bauverbot nur geschützt werden kann, wenn die vom Beschwerdeführer vorgeschlagenen milderen Massnahmen die von Art. 2 GSchG geforderte Sauberkeit des Wassers nicht zu gewährleisten vermögen (vgl. auch BGE 92 I 415 ).</w:t>
      </w:r>
    </w:p>
    <w:p>
      <w:r>
        <w:rPr>
          <w:b/>
        </w:rPr>
        <w:t>E. 5</w:t>
      </w:r>
    </w:p>
    <w:p>
      <w:r>
        <w:t>Der Beschwerdeführer hat ausdrücklich oder stillschweigend die Einleitung der Abwässer in eine Kanalisation, die Einleitung in einen Vorfluter, die Versickerung nach Vorklärung in einem Faulraum und den Bau einer abflusslosen Sammelgrube vorgeschlagen. a) Der Experte hat geprüft, ob die Abwässer von der vorgesehenen Baute aus den Kanalisationen von Fahrwangen oder Meisterschwanden zugeleitet werden könnten. Er kommt zum Ergebnis, dass der Anschluss an die bestehenden Kanalisationen wegen ihrer grossen Entfernung nicht möglich sei. Auch bei Vollausbau der Kanalisationsnetze von Meisterschwanden und Fahrwangen wäre das Ende des nächsten und tiefer gelegenen Stranges in der Luftlinie erst in rund 1,3 km Entfernung erreichbar. In Sachen Hell ( BGE 92 I 511 /12) hat das Bundesgericht erkannt, mit Rücksicht auf die begrenzte Leistungsfähigkeit eines Kanalisationsnetzes könne der Anschluss von ausserhalb des Kanalisationsperimeters gelegenen Grundstücken ohne Willkür verweigert werden. Unter diesen Umständen kann der Vorschlag, die häuslichen Abwässer einem Kanalisationsstrang zuzuleiten, nicht berücksichtigt werden. b) Als weiteres Mittel, um die Abwasserfrage zu lösen, erwähnt der Beschwerdeführer - sinngemäss - die Einleitung in einen Vorfluter. Nach einer Mitteilung in der Zeitschrift PLAN (Jahrgang 1960 S. 171) wurde infolge der Zufuhr von Abwasser aus den Wohnsiedlungen und den Industrien der direkten Nachbarschaft, BGE 94 I 492 S. 497 namentlich aber auch durch die Nährstoffzufuhr aus dem Baldeggersee, der Hallwilersee von Jahr zu Jahr stärker eutrophiert. Im Frühjahr und Herbst verwandelt sich die Seeoberfläche infolge des starken Wachstums der Burgunderblutalge in eine braunrote Brühe. Ähnliche Verhältnisse entstehen im Sommer bei windigem Wetter. Das Baden wird verunmöglicht und die Nutzung des Sees als Fischereigewässer beeinträchtigt. Bei diesen Verhältnissen scheide der See als Trinkwasserreservoir aus (PLAN a.a.O.). Der Experte führt aus, die kantonale Behörde habe sich mit grossen Opfern seitens des Kantons und der beteiligten Gemeinden dazu entschlossen, die Abwässer aus den Siedelungen in einer Ringleitung abzufangen, um jede direkte Zufuhr in den See zu verhindern. Diese Massnahme bezwecke, den See von der abwasserbedingten Zufuhr von Düngestoffen möglichst zu entlasten. Es wäre nicht sinnvoll, eine Durchlöcherung dieses Prinzipes zuzulassen. Da der Hallwilersee besonders stark verschmutzt und seine Gesundung dringlich ist, scheidet auch der zweite Vorschlag des Beschwerdeführers aus. c) Der Beschwerdeführer beruft sich darauf, in Fahrwangen sei zwei Hausbesitzern die Versickerung der Abwässer erlaubt worden. Der Experte erklärte, es wäre an sich denkbar, das Abwasser in einem ausreichend dimensionierten dreikammerigen Faulraum (Inhalt rund 10-20 m3) vorzureinigen und dann versickern zu lassen. Dennoch schliesst er diese Lösung im vorliegenden Fall aus. Er hält dafür, dass die Versickerung das Grundwasser sowohl im Schachtbrunnen des Beschwerdeführers selbst als auch in der benachbarten Äscherweid gefährde. Ein Versickern des Schmutzwassers ist daher nach Art. 2 Abs. 1 in Verbindung mit Art. 3 Abs. 1 GSchG nicht zulässig, auch wenn jenes Grundwasser heute noch nicht genutzt wird und wegen seines geringen Ausmasses nicht als öffentliches Grundwasser erklärt worden ist. Die Rüge rechtsungleicher Behandlung geht fehl, weil in den angeführten Fällen die Versickerung nur vorläufig zugelassen wurde. Somit erweist sich auch dieser Vorschlag zur Lösung der Abwasserfrage als ungeeignet. d) Schliesslich hat der Beschwerdeführer die landwirtschaftliche Verwertung des Abwassers nach Erstellen einer abflusslosen Sammelgrube vorgeschlagen. Der Regierungsrat weist auf die Gefahr einer Verunreinigung hin, die mangels regelmässiger BGE 94 I 492 S. 498 Leerung durch überlaufende Abwässer entsteht. Der Gutachter führt aus, dass es theoretisch möglich sei, völlig dichte Gruben zu erstellen. Er erklärt sie gleichwohl als unzuverlässig; denn die Praxis zeige, dass solche Bauwerke bei herkömmlicher Bauweise häufig nach kurzer Zeit Verluste aufzeigen und eine Dauergarantie für die Dichtigkeit nicht gegeben werden könne. In der Tat hat eine Kontrolle im Kanton Aargau ergeben, dass 70% der untersuchten Gruben durchlöchert waren (vgl. ROLF MEYER, Heutige Aufgaben der Landesplanung, in PLAN 1963 S. 83 und 95). Zu ähnlichen Feststellungen gelangte der Regierungsrat des Kantons Luzern (vgl. SJZ 1965 S. 193). Wie sehr diese Bedenken auch ins Gewicht fallen, so können sie nicht dazu führen, abflusslose Sammelgruben von vorneherein zu verbieten. aa) Auf den 1. März 1968 sind die Technischen Tankvorschriften vom 27. Dezember 1967 in Kraft getreten (AS 1968 S. 257 ff.). Nach Art. 1 bezwecken sie die Verhinderung von Flüssigkeitsverlusten u.a. bei den Einrichtungen zur Lagerung von flüssigen Treib- und Brennstoffen. Die Vorschriften regeln insbesondere die Herstellung, den Einbau und die Wartung von Brenn- und Treibstoffbehältern; sie sind sinngemäss auf alle Lagereinrichtungen für andere wassergefährdende Flüssigkeiten anzuwenden (Abs. 2). Ist aber die Lagerung der gefährlichen Mineralöle zulässig, sofern Sicherheitsvorschriften beachtet werden, so kann die Speicherung häuslicher Abwässer nicht einfach verboten sein. Angesichts der damit verbundenen Gefahren können jedoch die Kantone Sammelgruben gestützt auf Art. 2 GSchG bewilligungspflichtig erklären und die Bewilligung von sichernden Bedingungen und Auflagen abhängig machen (vgl. auch § 79 der Novelle vom 2. Juli 1967 des Wassergesetzes vom 15. Dezember 1901 des Kantons Zürich). An solche Sicherungen ist ein strenger Massstab anzulegen: - Eine abflusslose Grube muss vollständig dicht sein (vgl. NÄF, Das Grundwasser und seine Verschmutzungsgefahr, in PLAN 1965 S. 189). Sie ist nach den anerkannten Regeln der Baukunde zu planen und mit einwandfreiem Material auszuführen. Sie darf weder Abläufe noch Überläufe aufweisen. Die Bauleitung ist ausgewiesenen Fachleuten zu übertragen. Der Rauminhalt des Sammelbeckens hat sich nach der Belegung des Wohnhauses zu richten. Vor der Inbetriebnahme ist die geschlossene Grube der zuständigen Amtsstelle zur Kontrolle BGE 94 I 492 S. 499 vorzuweisen. Nachher ist die Grube durch eine Fachfirma in angemessenen Zeitabständen zu überholen (vgl. hiezu Art. 12 Abs. 2 der Technischen Tankvorschriften). - Die Schmutzwasser müssen regelmässig und in genügend kurzen Intervallen in einer Weise geleert werden, die den Anforderungen des Gewässerschutzgesetzes entspricht. Die Kantone können prüfen, ob die vertraglich mit der Leerung betraute Person oder Firma Gewähr für eine gesetzeskonforme Erfüllung des Vertrages bietet. Sofern sich keine Kläranlage findet, die sich zur Abnahme des Schmutzwassers eignet, bleibt lediglich die Verwertung auf landwirtschaftlichem Boden. In diesem Falle muss es möglich sein, die Jauche langfristig auszubringen. Die Kantone können deshalb gestützt auf Art. 2 GSchG vorschreiben, dass Ausbringungsverträge zeitlich unbegrenzt und mit dinglicher Sicherung abgeschlossen werden: durch Grundlast im Sinne von Art. 782 ff. ZGB , wenn der Eigentümer geeigneten Landes selbst die Ausbringung des Schmutzwassers übernimmt; durch Grunddienstbarkeit gemäss Art. 730 ff. ZGB , wenn er lediglich Grund und Boden für diesen Zweck zur Verfügung stellt. - Der verpflichtete Landwirt muss in der Lage sein, die häuslichen Abwasser ohne Übermass zu verwerten. Es hat also aus den Akten hervorzugehen, dass die dem belasteten Landwirt zur Verfügung stehenden Grundstücke bezüglich Grösse und Nutzung zur Übernahme geeignet sind. Zu berücksichtigen sind dabei die einschränkenden Bedingungen des Milchregulativs. Nach Art. 6 Abs. 1 in der Fassung vom 26. Februar 1963 (AS 1963 S. 382) ist "jede übertriebene, einseitige oder zur unrichtigen Zeit ausgeführte Düngung" verboten. Es ist deshalb bei der Berechnung des Rauminhaltes der Grube ausserdem zu beachten, dass die häuslichen Abwasser nicht jederzeit ausgeführt werden dürfen ( BGE 92 I 412 ). bb) Geht man hievon aus, hat die Vorinstanz den Vorschlag, eine abflusslose Sammelgrube zu erstellen, so wie sie sich der Beschwerdeführer vorstellt, mit Recht abgelehnt. Zwar ist dem Experten darin beizupflichten, dass dem Landwirt Fankhauser auch für die vorgesehenen 30 m3 Abwasser aus dem Hause Achermanns genügend Ackerland als Verwertungsfläche zur Verfügung stände. Richtig ist auch, dass sich Fankhauser vertraglich verpflichtet, das Abwasser zur landwirtschaftlichen Verwertung zu übernehmen. Indessen fehlt es an einer dinglichen BGE 94 I 492 S. 500 Sicherung, d.h. die vertragliche Verpflichtung ist nicht zu einer im Grundbuch eingetragenen Grundlast ausgestaltet worden. Der Beschwerdeführer hat auch nicht dargetan, dass ihm ein Anspruch zustehe, seine Jauche der Kläranlage einer Gemeinde zuzuführen. Ob das Projekt der Sammelgrube den anerkannten Regeln der Baukunde entspreche, kann unter diesen Umständen offen bleiben. Unerheblich ist zur Zeit überdies, ob der Beschwerdeführer die geschlossene Jauchegrube mit einem Ein- oder Dreikammersystem ausrüsten will.</w:t>
      </w:r>
    </w:p>
    <w:p>
      <w:r>
        <w:rPr>
          <w:b/>
        </w:rPr>
        <w:t>E. 6</w:t>
      </w:r>
    </w:p>
    <w:p>
      <w:r>
        <w:t>Kann mit milderen Massnahmen die vom Gewässerschutzgesetz angestrebte Sauberkeit des ober- und unterirdischen Wassers im vorliegenden Fall nicht erreicht werden, so hat es bei dem von den Vorinstanzen verfügten Bauverbot zu bleiben. Doch ist dieses Verbot nicht endgültig. Schlägt der Beschwerdeführer später beispielsweise eine geschlossene Grube vor, die - gemessen an dem in Art. 2 GSchG umschriebenen Zweck - keinen Bedenken ruft und deren Inhalt gemäss einer im Grundbuch eingetragenen Grundlast von einem Landwirt übernommen wird, dann müsste (unter Vorbehalt von Verweigerungsgründen, die auf dem kantonalen Natur- und Heimatschutzgesetz beruhen) die Baubewilligung - mit Auflagen und Bedingungen - nachträglich erteilt werden. Einem neuen Begehren des Beschwerdeführers könnte nicht entgegengehalten werden, die frühere Entscheidung sei in Rechtskraft erwachsen und sei daher unabänderlich (vgl. BGE 90 I 200 Erw. 5).</w:t>
      </w:r>
    </w:p>
    <w:p>
      <w:r>
        <w:rPr>
          <w:b/>
        </w:rPr>
        <w:t>E. 7</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