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403</w:t>
      </w:r>
    </w:p>
    <w:p>
      <w:r>
        <w:t>Bundesgericht (BGE), 1968-01-01, DE</w:t>
      </w:r>
    </w:p>
    <w:p>
      <w:r>
        <w:rPr>
          <w:b/>
        </w:rPr>
        <w:t xml:space="preserve">Quelle: </w:t>
      </w:r>
      <w:r>
        <w:t>https://mcp.opencaselaw.ch/entscheid/bge_BGE_94_I_403</w:t>
      </w:r>
    </w:p>
    <w:p>
      <w:r>
        <w:t>FR: ATF 94 I 403</w:t>
      </w:r>
    </w:p>
    <w:p>
      <w:r>
        <w:t>IT: DTF 94 I 403</w:t>
      </w:r>
    </w:p>
    <w:p>
      <w:pPr>
        <w:pStyle w:val="Heading2"/>
      </w:pPr>
      <w:r>
        <w:t>Regeste</w:t>
      </w:r>
    </w:p>
    <w:p>
      <w:r>
        <w:t>Regeste 1. Art. 2 GSchG. Zu den zulässigen Massnahmen gehören auch die Ermittlung des Herdes der Verschmutzung und Kontrollbesuche (Erw. 2). 2. Zwangsmassnahmen gemäss Art. 12 GSchG: a) Begriff der sofortigen Ausführung und der antizipierten Ersatzvornahme (Erw. 3); b) Begriff des Pflichtigen und des Störers (Erw. 4); c) Die Störereigenschaft kann auch ohne strafrechtliches Verschulden gegeben sein (Erw. 5 a); d) Kostenauflage bei einer Mehrzahl von Störern (Erw. 5 d); e) Ersatz der Kosten der Staatsorgane (Erw. 6).</w:t>
      </w:r>
    </w:p>
    <w:p>
      <w:r>
        <w:t>Regeste 1. Art. 2 LPEP. Au nombre des mesures autorisées par la loi figurent aussi le repérage du foyer de pollution et les inspections de contrôle (consid. 2). 2. Mesures coercitives au sens de l'art. 12 LPEP: a) notion de l'exécution d'urgence et de l'intervention immédiate de l'autorité en lieu et place de l'auteur du trouble (consid. 3); b) notion de personne ayant la charge des mesures à prendre et d'auteur du trouble (consid. 4); c) une personne qui n'a pas commis de faute pénale peut néanmoins être l'auteur du trouble (consid. 5 a); d) charge des frais lorsque le trouble a plusieurs auteurs (consid. 5 d); e) remboursement des frais occasionnés par l'intervention d'agents de l'Etat (consid. 6).</w:t>
      </w:r>
    </w:p>
    <w:p>
      <w:r>
        <w:t>Regesto 1. Art. 2 LPA. Tra i provvedimenti autorizzati rientrano pure l'individuazione del focolaio d'inquinamento e le visite di controllo (consid. 2). 2. Misure coercitive giusta l'art. 12 LPA: a) nozione dell'esecuzione immediata e del provvedimento eseguito dall'autorità in luogo e vece di chi vi era tenuto (consid. 3); b) nozione della persona tenuta a sopportare le spese e della persona autrice dell'inquinamento (consid. 4); c) la qualità d'autore dell'inquinamento può essere data anche in assenza d'una colpa di diritto penale (consid. 5 a); d) onere delle spese quando il perturbamento ha avuto più autori (consid. 5 d); e) rimborso delle spese degli organi statali (consid. 6).</w:t>
      </w:r>
    </w:p>
    <w:p>
      <w:pPr>
        <w:pStyle w:val="Heading2"/>
      </w:pPr>
      <w:r>
        <w:t>Erwägungen</w:t>
      </w:r>
    </w:p>
    <w:p>
      <w:r>
        <w:rPr>
          <w:b/>
        </w:rPr>
        <w:t>E. 1</w:t>
      </w:r>
    </w:p>
    <w:p>
      <w:r>
        <w:t>(Gegenstand der Verwaltungsgerichtsbeschwerde)</w:t>
      </w:r>
    </w:p>
    <w:p>
      <w:r>
        <w:rPr>
          <w:b/>
        </w:rPr>
        <w:t>E. 2</w:t>
      </w:r>
    </w:p>
    <w:p>
      <w:r>
        <w:t>Gemäss Art. 2 Abs. 1 GSchG sind gegen die Verunreinigung oder andere schädliche Beeinträchtigung der ober- und unterirdischen Gewässer u.a. diejenigen Massnahmen zu BGE 94 I 403 S. 408 treffen, die notwendig sind zum Schutze der Gesundheit von Mensch und Tier, zur Verwendung von Grund- und Quellwasser als Trinkwasser, zur Aufbereitung von Wasser aus oberirdischen Gewässern als Trink- und Brauchwasser, zur Benützung zu Badezwecken, zur Erhaltung von Fischgewässern. Auf Grund dieser Vorschrift hatte die zuständige kantonale Instanz am Abend des 4. Januar 1967 einzugreifen, nachdem eine Menge Oel im Rhein festgestellt worden und deren Herkunft nicht bekannt war. Die Ermittlung der Ursache war sowohl zum Schutze des Rheins als auch des parallel fliessenden Grundwasserstroms (vgl. Gutachten Dr. Bellin/Ingold vom 24. Februar 1967, erstattet i.S. Verwaltungsgerichtsbeschwerde der Alpina Rheinumschlag A.-G. Muttenz gegen den Regierungsrat des Kantons Basel-Landschaft) unerlässlich und dringlich. Hätten die Organe der Beschwerdeführerin oder die Schiffsbesatzung den Rohrbruch sofort der Polizei gemeldet, so hätte der Herd der Verschmutzung nicht während der Dunkelheit, also unter erschwerten Bedingungen, gesucht werden müssen. Notwendig war auch der Besuch am folgenden Tag, mit dem sich der zuständige Beamte versicherte, dass die Gefahr weiterer Verschmutzung des Rheins behoben sei und sich keine weiteren Massnahmen aufdrängten.</w:t>
      </w:r>
    </w:p>
    <w:p>
      <w:r>
        <w:rPr>
          <w:b/>
        </w:rPr>
        <w:t>E. 3</w:t>
      </w:r>
    </w:p>
    <w:p>
      <w:r>
        <w:t>Nach Art. 12 GSchG können die Kantone die zwangsweise Durchführung der von ihnen verlangten Massnahmen verfügen oder diese nötigenfalls auf Kosten der Pflichtigen selber besorgen. In BGE 91 I 300 ff. wurde festgestellt, dass Art. 12 GSchG die Kantone nicht nur zur eigentlichen Ersatzvornahme nach Aufforderung des Störers und Androhung dieses Zwangsmittels ermächtigt, sondern dass sie unmittelbar Massnahmen auf dessen Kosten treffen können. Das Bundesgericht hat die antizipierte Ersatzvornahme insbesondere zugelassen, wenn - selbst ohne zeitliche Dringlichkeit - zum vorneherein feststehe, dass dem Pflichtigen die rechtlichen und tatsächlichen Mittel fehlen, um einem Verwaltungsbefehl nachzukommen. Dies muss erst recht gelten, wenn die Behörde unter Zeitdruck handelt. In der Lehre ist nicht bestritten, dass das Gemeinwesen, wenn Gefahr im Verzug ist, vom üblichen Einleitungsverfahren absehen darf (DREWS-WACKE, Allgemeines Polizeirecht, 7. Aufl., 1961, S. 299/300;MERK, Deutsches Verwaltungsrecht, Band I, 1961, S. 961; WOLFF, Juristische Kurz- BGE 94 I 403 S. 409 Lehrbücher, Verwaltungsrecht III, 1966, S. 281; JELLINEK, Verwaltungsrecht, 3. Auflage, Neudruck 1966, S. 341; RUCK, Schweizerisches Verwaltungsrecht I, 3. Aufl., S. 131). Dieses unmittelbare Eingreifen der Polizei wird im erwähnten Schrifttum als sofortige (unmittelbare) Ausführung oder sofortiger Zwang bezeichnet. Um einen Fall der sofortigen Ausführung handelt es sich hier. Das Eingreifen der Gewässerschutzbehörden war dringlich und nicht auf andere Weise zu bewerkstelligen. Dies gilt namentlich vom Aufspüren des Gefahrenherdes. Das unmittelbare Einschreiten hielt sich, wie in Ziffer 2 dargelegt, im Rahmen des Art. 2 GSchG . Ob die so erfolgte unmittelbare Ausführung auch vor § 13 der kantonalen Vollziehungsverordnung standhalte, ist unerheblich.</w:t>
      </w:r>
    </w:p>
    <w:p>
      <w:r>
        <w:rPr>
          <w:b/>
        </w:rPr>
        <w:t>E. 4</w:t>
      </w:r>
    </w:p>
    <w:p>
      <w:r>
        <w:t>Die Beschwerdeführerin bestreitet vor allem, dass sie "pflichtig" sei. Pflichtig im Sinne des Art. 12 GSchG ist nach einem allgemeinen rechtsstaatlichen Grundsatz der Störer. Störer ist, wer den Schaden oder die Gefahr verursacht hat, aber auch, wer Gewalt hat über Personen oder Sachen, die den ordnungswidrigen Zustand bewirkt haben ( BGE 91 I 302 ). Störer ist nicht nur, wer eine adaequate Ursache des Schadens oder der Gefahr bildet, sondern jeder, der eine "condicio sine qua non" dafür gesetzt hat, ja sogar, wer es in Kauf nimmt, dass andern durch sein an sich nicht rechtswidriges Verhalten die Schaffung eines polizeiwidrigen Tatbestandes ermöglicht wird ( BGE 91 I 147 /8). In diesem Sinne sind in der bisherigen Rechtsprechung die Inhaber einer von der Baupolizei abgenommenen, aber dann leck gewordenen Tankanlage und der Eigentümer einer Kiesgrube, die gegen seinen Willen zur Materialablagerung missbraucht wurde, als Störer behandelt worden ( BGE 91 I 303 und 148). Geht man hievon aus, so muss die Beschwerdeführerin als Störerin bezeichnet werden. Sie hat die Leitung zum Auspumpen des Öls, welche der Beanspruchung nicht gewachsen war, geliefert. Sie trägt die Verantwortung für deren Zustand - schon nach allgemeinen Rechtsgrundsätzen und zudem nach der ausdrücklichen Vorschrift von Art. 4 GSchG ; denn Absatz 4 (Fassung gemäss Art. 51 des BG über die Rohrleitungsanlagen zur Beförderung flüssiger oder gasförmiger Brenn- und Treibstoffe, AS 1964 S. 113) schreibt vor, dass die für die Lagerung und Beförderung flüssiger Stoffe, wie Öl, Benzin und dergleichen BGE 94 I 403 S. 410 zum Schutze von Gewässern nötigen technischen Vorrichtungen zu erstellen und regelmässig zu kontrollieren sind. Die Beschwerdeführerin verschweigt, ob sie die Kontrolle regelmässig durchgeführt habe und an welchem Datum vor dem 4. Januar 1967 das geborstene Rohr letztmals in Ordnung befunden wurde. Da überprüfbare Angaben fehlen, vermag die Behauptung, ihre Anlagen seien in gutem Zustand gewesen, nicht zu überzeugen. Dies umso weniger, als die Beschwerdeführerin vor der kantonalen Instanz eingeräumt hat, dass der Bruch eines Rohrstücks längs einer Schweissnaht ein "Materialermüdungsbruch" sein könne. Zudem wäre es laut dem Bericht des Departementes des Innern nach dem heutigen Stand der technischen Erkenntnis angezeigt gewesen, "anstelle der starr verschraubten Rohrleitungsstücke Rohre mit beweglichen Kugelgelenken oder aber flexible Schlauchleitungen zu benützen". Nach demselben Bericht hätte die Beschwerdeführerin sich überdies Rechenschaft geben sollen, "dass das Auslagern eines Tankschiffes mittels einer langen, über zwei andere Schiffe gelegten Leitung die Gefahr eines Leitungsbruchs wesentlich erhöht". Es ist somit kein Zweifel möglich, dass mindestens eine Teilursache des Bruches durch die Beschwerdeführerin gesetzt worden und zu verantworten ist. Das genügt, um sie als Pflichtige ins Recht zu fassen.</w:t>
      </w:r>
    </w:p>
    <w:p>
      <w:r>
        <w:rPr>
          <w:b/>
        </w:rPr>
        <w:t>E. 5</w:t>
      </w:r>
    </w:p>
    <w:p>
      <w:r>
        <w:t>Was die Beschwerdeführerin und das Eidg. Departement des Innern zur Begründung ihrer abweichenden Betrachtungsweise vorbringen, ist nicht stichhaltig. a) Das Eidg. Departement des Innern führt sinngemäss aus, die Störereigenschaft sei der strafrechtlichen Verantwortlichkeit nach Art. 15 GSchG nachgebildet; letztere greife aber nur Platz bei Verschulden dessen, der einen Schaden oder eine Gefahr verursacht habe. In Sachen Schüder wurde im Jahre 1965 entschieden, dass nichts darauf ankomme, ob der Inhaber der Gewalt über die eine Gefahr auslösenden Gegenstände privatrechtlich hafte, noch, ob ihn ein Verschulden treffe. An dieser Ansicht, die mit der schweizerischen und deutschen Lehre des Verwaltungsrechts übereinstimmt (vgl. BGE 91 I 302 ), ist festzuhalten. b) Die Beschwerdeführerin macht geltend, der Rohrbruch sei ausschliesslich die Folge davon, dass das Schiffspersonal das Öl unter zu grossem Druck an Land gepumpt habe. Allein dafür ist nicht nur kein Beweis angeboten worden; es fehlen BGE 94 I 403 S. 411 auch alle Angaben tatbeständlicher Art, die zu einer Überprüfung durch Expertise Anlass geben könnten. c) Die Beschwerdeführerin behauptet ferner, es sei Sache des Reeders, das Öl an Land zu befördern, und die Leitung sei während des Auspumpens im Gewahrsam der Schiffsbesatzung gestanden. Auch diese Bestreitung nützt der Beschwerdeführerin nichts. Denn selbst wenn ihre Darstellung zutreffen sollte, so wäre nicht dargetan, dass die von ihr geliehenen Rohre tadellos waren. Das wäre aber unerlässlich, wenn auch für sich allein nicht genügend, um sie als Störerin auszuschliessen. d) Die Beschwerdeführerin wendet schliesslich sinngemäss ein, die Schiffsbesatzung der "Gallus" habe in erster Linie die gewässerpolizeiliche Ordnung gestört. Demnach habe sich der Staat zunächst an den Frachtführer, hier die Brag-Tankschifffahrt AG, zu halten. An diesem Einwand ist, nach den Akten zu schliessen, soviel richtig, dass auch die Reederei als Störerin in Frage kommt. Bei einer Mehrzahl von Störern hat die Behörde die Wahl, an welchen sie sich halten will (PETERS, Lehrbuch der Verwaltung, S. 382; ANSCHÜTZ, Die Polizei, S. 21; WOLFF, a.a.O., S. 282). Es entsteht in solchen Fällen etwas der Solidarhaft nach Art. 50/51 OR Ähnliches (vgl. BGE 93 II 322 ). Die Behörden des Kantons Basel-Landschaft waren also berechtigt, sich ausschliesslich an die Beschwerdeführerin zu halten und ihr allein die Kosten aufzuerlegen. In diesem Sinne hat das Obergericht des Kantons Aargau als Verwaltungsgericht bereits im Jahre 1961 entschieden (vgl. AGVE 1961 Nr. 32 S. 127 ff.).</w:t>
      </w:r>
    </w:p>
    <w:p>
      <w:r>
        <w:rPr>
          <w:b/>
        </w:rPr>
        <w:t>E. 6</w:t>
      </w:r>
    </w:p>
    <w:p>
      <w:r>
        <w:t>In BGE 91 I 299 ff. ist entschieden worden, dass die Pflichtigen dem Staat jene Kosten zu ersetzen haben, die ihm dadurch entstehen, dass er einen Dritten zur Ermittlung der Gefahr beauftragt hat. Hier geht es um die Kosten der Staatsorgane. Auch diese sind vom Störer zu tragen; denn die Ersatzvornahme besteht gerade darin, dass eine vertretbare Handlung, die der Pflichtige nicht erbringt, vom Staate selbst oder einem beauftragten Dritten ausgeführt wird ( BGE 91 I 300 a).</w:t>
      </w:r>
    </w:p>
    <w:p>
      <w:r>
        <w:rPr>
          <w:b/>
        </w:rPr>
        <w:t>E. 7</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