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213</w:t>
      </w:r>
    </w:p>
    <w:p>
      <w:r>
        <w:t>Bundesgericht (BGE), 1968-01-01, IT</w:t>
      </w:r>
    </w:p>
    <w:p>
      <w:r>
        <w:rPr>
          <w:b/>
        </w:rPr>
        <w:t xml:space="preserve">Quelle: </w:t>
      </w:r>
      <w:r>
        <w:t>https://mcp.opencaselaw.ch/entscheid/bge_BGE_94_I_213</w:t>
      </w:r>
    </w:p>
    <w:p>
      <w:r>
        <w:t>FR: ATF 94 I 213</w:t>
      </w:r>
    </w:p>
    <w:p>
      <w:r>
        <w:t>IT: DTF 94 I 213</w:t>
      </w:r>
    </w:p>
    <w:p>
      <w:pPr>
        <w:pStyle w:val="Heading2"/>
      </w:pPr>
      <w:r>
        <w:t>Regeste</w:t>
      </w:r>
    </w:p>
    <w:p>
      <w:r>
        <w:t>Regeste Notariat. Unvereinbarkeit. Der Entscheid der kantonalen Behörde, der die vom Beschwerdeführer ausgeübte Tätigkeit als Direktor der Agentur einer Versicherungsgesellschaft als mit derjenigen des Notars unvereinbar im Sinne von Art. 11 Abs. 1 lit. c des Tessiner Notariatsgesetzes in der Fassung vom 25. Juli 1967 betrachtet, ist nicht willkürlich (Erw. 1). Ebenso wenig verletzt er wohlerworbene Rechte des Beschwerdeführers, welcher unter der Herrschaft der früheren Bestimmungen beide Tätigkeiten gleichzeitig ausüben konnte (Erw. 3).</w:t>
      </w:r>
    </w:p>
    <w:p>
      <w:r>
        <w:t>Regeste Notariat. Incompatibilité. La décision de l'autorité cantonale, considérant l'activité de directeur d'une compagnie d'assurance comme incompatible avec l'exercice du notariat au sens de l'art. 11 al. 1 lettre c de la loi tessinoise sur le notariat, dans sa teneur du 25 juillet 1967, n'est pas arbitraire (consid. 1). Elle ne viole pas non plus les droits de celui qui, sous l'empire des dispositions précédentes, pouvait exercer en même temps les deux activités (consid. 3).</w:t>
      </w:r>
    </w:p>
    <w:p>
      <w:r>
        <w:t>Regesto Funzione di notaio. Incompatibilità. La decisione dell'autorità cantonale che ha ravvisato nell'attività svolta dal ricorrente quale direttore particolare di una compagnia di assicurazioni un motivo di incompatibilità con la funzione di notaio, ai sensi dell'art. 11 cpv. 1 lett. c della legge ticinese sul notariato nel testo unico del 25 luglio 1967, non è arbitraria (consid. 1). Essa non viola nemmeno i diritti acquisiti del ricorrente, che, sotto l'impero delle vecchie disposizioni, poteva svolgere contemporaneamente le due attività (consid. 3).</w:t>
      </w:r>
    </w:p>
    <w:p>
      <w:pPr>
        <w:pStyle w:val="Heading2"/>
      </w:pPr>
      <w:r>
        <w:t>Erwägungen</w:t>
      </w:r>
    </w:p>
    <w:p>
      <w:r>
        <w:rPr>
          <w:b/>
        </w:rPr>
        <w:t>E. 1</w:t>
      </w:r>
    </w:p>
    <w:p>
      <w:r>
        <w:t>Il Tribunale di appello ha negato al ricorrente il diritto di esercitare contemporaneamente, in futuro, le attività di notaio e di agente della compagnia d'assicurazioni Y., fondandosi sull'art. 11 cpv. 1 lett. c della legge ticinese sul notariato nel testo unico del 25 luglio 1967 che, appunto, ha introdotto l'incompatibilità tra quelle funzioni. A torto X. ritiene arbitraria questa decisione, che considera fondata su di una insostenibile applicazione della citata norma legale. L'opinione del Tribunale di appello, che ha ravvisato nell'attività svolta dal ricorrente a favore della compagnia Y. quella di un agente di assicurazione ai sensi della legge notarile non travalica affatto il senso e lo scopo di quella disposizione. Essa nemmeno si trova in contrasto con l'accezione normale che vien data alla nozione di "agente d'assicurazione" nel BGE 94 I 213 S. 216 linguaggio comune; nè, infine, si trova in contrasto con il significato che tale espressione possiede nel diritto federale (cfr. in particolare, l'art. 34 LCA). Il ricorrente medesimo, che si definisce "direttore particolare" della compagnia d'assicurazioni Y., non contesta del resto di essere legato a questa società da un rapporto contrattuale diverso dal contratto di lavoro. In realtà, tale rapporto può essere, di massima, qualificato come un contratto d'agenzia nel campo delle assicurazioni (v., per quanto concerne i rapporti giuridici tra la società d'assicurazioni e l'agente: art. 418 e segg. CO; GAUTSCHI, N. 15a agli art. 418a e 418 b CO; HANSJÖRG WEHRLI, Der Versicherungsagenturvertrag, p. 35 e segg.). Invero, è proprio dell'agente d'assicurazione non solo di cercare clienti e di concludere contratti, ma anche di assolvere taluni compiti amministrativi, tra i quali rientra, in particolare, la gestione del portafoglio della società. Ora, questa era appunto, in linea di massima, la mansione assegnata al ricorrente: non si vede pertanto come quest'ultimo possa rimproverare alla precedente istanza di averlo arbitrariamente considerato un agente di assicurazione, assoggettandolo quindi alla norma di incompatibilità di cui si tratta. In realtà, la decisione che è il frutto di quell'opinione non viola in modo manifestamente grave una norma legale o un principio giuridico chiaro e incontestabile, nè si trova in stridente contrasto con il senso dell'equità (RU 90 I 139 e riferimento). L'interpretazione che la precedente istanza ha dato alla citata norma d'incompatibilità corrisponde anzi alla volontà del legislatore, che ha inteso escludere dallo esercizio dell'attività notarile i notai trovantisi in uno "stretto rapporto di lavoro con una ditta di carattere commerciale o affine" (v. rapporto complementare della Commissione della legislazione concernente la modificazione di alcune norme in materia di notariato, del 9 gennaio 1967, p. 6).</w:t>
      </w:r>
    </w:p>
    <w:p>
      <w:r>
        <w:rPr>
          <w:b/>
        </w:rPr>
        <w:t>E. 2</w:t>
      </w:r>
    </w:p>
    <w:p>
      <w:r>
        <w:t>Il fatto che X. non si occupi direttamente dell'acquisizione dei nuovi clienti, compito che lascia ai collaboratori, appare irrilevante. E, anzi, del tutto normale che il direttore regionale di una compagnia d'assicurazioni affidi a collaboratori il compito di stabilire e mantenere i contatti con la clientela: non per questo, tuttavia, egli perde la qualifica e le prerogative dell'agente di assicurazione. Dal momento che la legge, giusta il suo chiaro tenore, vuole impedire il contemporaneo esercizio delle attività di notaio e di BGE 94 I 213 S. 217 agente di assicurazione, si rivela senza importanza il rilievo fatto valere dal ricorrente circa la misura dell'attività notarile ch'egli ha svolto sinora. Il ricorrente afferma poi di non trovarsi in una posizione diversa da quella del gerente di un'agenzia bancaria locale, cui la legge permette di continuare l'esercizio del notariato. Questa opinione è però infondata già per il fatto che X. esplica la sua attività d'agente della società Y. sul territorio di tutto il Cantone, e non semplicemente su di una sua limitata circoscrizione. Non si vede inoltre perchè debba essere proprio ritenuta arbitraria la decisione che rifiuta di estendere in via analogica ad altri rami commerciali l'eccezione che il legislatore ha stabilito solo per i gerenti di agenzie bancarie locali.</w:t>
      </w:r>
    </w:p>
    <w:p>
      <w:r>
        <w:rPr>
          <w:b/>
        </w:rPr>
        <w:t>E. 3</w:t>
      </w:r>
    </w:p>
    <w:p>
      <w:r>
        <w:t>Il ricorrente sostiene infine di aver sempre svolto contemporaneamente, a partire dal 1951, le attività tuttora dichiarate incompatibili: ritiene quindi che siano sorti, nei suoi confronti, dei diritti acquisiti che lo Stato non potrebbe ora ignorare o abolire. A questo punto occorre rilevare quanto segue. Il brevetto di notaio non conferisce all'interessato soltanto il diritto di svolgere determinate funzioni di carattere ufficiale; esso gli procura anche, sebbene indirettamente, una fonte di guadagno, dal momento che le mansioni notarili sono esercitate dietro compenso. Ora, secondo la giurisprudenza, anche certi diritti pecuniari derivanti da rapporti di diritto pubblico (quali il diritto del funzionario allo stipendio o alla pensione) sono protetti dalla garanzia costituzionale della proprietà (RU 70 I 21/22, 74 I 470 lett. b, 77 I 144 consid. 2, 83 I 65 consid. 2, 87 I 325; FAVRE, Droit constitutionnel suisse, p. 287). Censurando una inammissibile limitazione di diritti acquisiti, il ricorrente fa quindi valere, in sostanza, una violazione della garanzia costituzionale della proprietà, la quale è sancita, secondo la concezione oggi dominante, dal diritto costituzionale non scritto della Confederazione (RU 89 I 98 e riferimenti di dottrina ; 93 I 137 consid. 3). Tuttavia, X. non dimostra d'aver "acquisito" il diritto di continuare a svolgere le funzioni notarili. Egli potrebbe tutt'al più essere al beneficio di un tale diritto, e quindi avvalersene, qualora la censurata incompatibilità contrastasse con una esplicita garanzia contenuta nella legge medesima oppure specialmente stabilita nel caso singolo (RU 70 I 22 lett. b, 74 I 470, BGE 94 I 213 S. 218 77 I 144 consid. 2, 83 I 65 consid. 2, 87 I 325: cfr. inoltre NARBEL, Les droits acquis des fonctionnaires, p. 72 e segg.). Ma l'esistenza di una garanzia simile, che mettesse il ricorrente al riparo dall'estensione delle norme sull'incompatibilità, non viene asserita nel ricorso, nè è desumibile dagli atti. Il ricorrente non può quindi rimproverare al Tribunale di appello di aver limitato in modo inammissibile i suoi diritti acquisiti, dal momento che egli non se ne è dimostrato titolare. Si deve quindi concludere che la decisione impugnata non può considerarsi in contrasto con il principio della garanzia costituzionale della proprietà. Del resto, quand'anche si volesse ammettere che l'autorizzazione ad esercitare il notariato abbia procurato al ricorrente un diritto acquisito, la tesi contenuta nel gravame non sarebbe per questo meglio sostenibile. Con la decisione impugnata, infatti, X. non è stato puramente e semplicemente spogliato del diritto di esercitare il notariato, ma soltanto posto davanti ad un'alternativa in cui aveva completa libertà di scelta.</w:t>
      </w:r>
    </w:p>
    <w:p>
      <w:r>
        <w:rPr>
          <w:b/>
        </w:rPr>
        <w:t>E. 4</w:t>
      </w:r>
    </w:p>
    <w:p>
      <w:r>
        <w:t>Il ricorrente non può dunque, oggettivamente, considerarsi vittima della violazione di diritti costituzionali. Il gravame va quindi respinto, anche se bisogna convenire che l'impugnato giudizio colpisce duramente il ricorrente, impedendogli di continuare una attività da cui traeva una parte essenziale dei suoi guadagni.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