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15</w:t>
      </w:r>
    </w:p>
    <w:p>
      <w:r>
        <w:t>Bundesgericht (BGE), 1968-02-28, FR</w:t>
      </w:r>
    </w:p>
    <w:p>
      <w:r>
        <w:rPr>
          <w:b/>
        </w:rPr>
        <w:t xml:space="preserve">Quelle: </w:t>
      </w:r>
      <w:r>
        <w:t>https://mcp.opencaselaw.ch/entscheid/bge_BGE_94_I_15</w:t>
      </w:r>
    </w:p>
    <w:p>
      <w:r>
        <w:t>FR: ATF 94 I 15</w:t>
      </w:r>
    </w:p>
    <w:p>
      <w:r>
        <w:t>IT: DTF 94 I 15</w:t>
      </w:r>
    </w:p>
    <w:p>
      <w:pPr>
        <w:pStyle w:val="Heading2"/>
      </w:pPr>
      <w:r>
        <w:t>Regeste</w:t>
      </w:r>
    </w:p>
    <w:p>
      <w:r>
        <w:t>Regeste Art. 4 BV. 1. Eine Änderung der Rechtsprechung ist grundsätzlich nicht willkürlich (Erw. 1). 2. Anspruch einer Prozesspartei auf Stellungnahme zu einer Frage tatsächlicher Natur, die zweifelhaft und für die Entscheidung der Streitsache erheblich ist (Erw. 2).</w:t>
      </w:r>
    </w:p>
    <w:p>
      <w:r>
        <w:t>Regeste Art. 4 Cst. 1. En principe, un changement de jurisprudence n'est pas arbitraire (consid. 1). 2. Droit d'une partie d'être entendue sur un point de fait douteux qui se révèle pertinent pour l'issue du litige (consid. 2).</w:t>
      </w:r>
    </w:p>
    <w:p>
      <w:r>
        <w:t>Regesto Art. 4 CF. 1. In principio, un cambiamento della giurisprudenza non è arbitrario (consid. 1). 2. Diritto di una parte di essere sentita su una questione di fatto dubbia e che si rivela importante per il giudizio della vertenza (consid. 2).</w:t>
      </w:r>
    </w:p>
    <w:p>
      <w:pPr>
        <w:pStyle w:val="Heading2"/>
      </w:pPr>
      <w:r>
        <w:t>Erwägungen</w:t>
      </w:r>
    </w:p>
    <w:p>
      <w:r>
        <w:rPr>
          <w:b/>
        </w:rPr>
        <w:t>E. 1</w:t>
      </w:r>
    </w:p>
    <w:p>
      <w:r>
        <w:t>Un changement de jurisprudence justifié par des motifs objectifs, qu'il se rapporte à une question de droit matériel ou de procédure, n'est pas contraire à l'art. 4 Cst. (RO 89 I 428 et les arrêts cités, 91 I 3, 93 I 259). Toutefois, la modification d'une jurisprudence relative à la computation des délais est entachée d'arbitraire si elle intervient sans avertissement et provoque la péremption d'un droit (RO 49 I 302, 56 I 442; ZBl 1956 p. 151; IMBODEN, Schweiz. Verwaltungsrechtsprechung, 2e éd., p. 213 ch. III; FAVRE, Droit constitutionnel suisse, p. 249). Selon la jurisprudence de la Cour d'appel fribourgeoise (Extraits 1958 p. 112), le recourant qui verse le montant de l'avance des frais judiciaires sur le compte de chèque postal du greffe du Tribunal cantonal respecte le délai qui lui a été imparti à cet effet s'il remet l'ordre de virement à un bureau de poste suisse le dernier jour utile et il n'est pas nécessaire que l'inscription de l'avance au crédit de ce compte soit effectuée avant son expiration. L'intimé ne conteste pas, et avec raison, que sa décision est contraire à cette jurisprudence. Il ne prétend pas non plus que celle-ci ait été modifiée depuis 1958. Enfin il n'est pas établi que le mandataire de la recourante ait remis son chèque postal dans un bureau de poste suisse après le 25 septembre 1967 et il est constant que l'ordonnance présidentielle met fin à l'instance introduite par la recourante devant la Cour d'appel. En vertu de ce qui précède, la décision attaquée doit donc être annulée.</w:t>
      </w:r>
    </w:p>
    <w:p>
      <w:r>
        <w:rPr>
          <w:b/>
        </w:rPr>
        <w:t>E. 2</w:t>
      </w:r>
    </w:p>
    <w:p>
      <w:r>
        <w:t>Outre l'annulation de l'ordonnance, la recourante demande que lui soit imparti un délai de 30 jours pour prouver que l'enveloppe contenant le chèque a été déposée dans la BGE 94 I 15 S. 17 boîte postale le lundi, 25 septembre 1967. Elle prétend que l'ordonnance lui dénie ce droit et se plaint de la violation du droit d'être entendu. La décision attaquée étant annulée, il appartiendra à l'autorité compétente d'examiner à nouveau, sous l'angle de la jurisprudence qu'elle a suivie jusqu'à maintenant, si l'avance a été faite en temps utile. Pour trancher cette question, il lui faudra en particulier décider si le chèque a été remis à la poste avant l'expiration du délai. L'intimé a laissé ce fait indécis. Selon son argumentation il n'était pas décisif. Aussi s'est-il abstenu de permettre à la recourante de prendre position à ce sujet. Sa conclusion étant erronée, cette omission implique une violation du droit d'être entendu. En effet, selon la jurisprudence, ce droit est violé lorsque, agissant d'office, l'autorité ne donne pas à la partie intéressée l'occasion de faire valoir utilement ses moyens sur un point de fait douteux qui est pertinent pour l'issue du litige (RO 73 I 199 consid. 1, 78 IV 147). Le grief de la recourante est donc fondé. Saisi d'un recours de droit public pour violation de l'art. 4 Cst., le Tribunal fédéral ne peut se substituer à l'autorité cantonale (RO 92 I 345). En l'espèce, il ne saurait par conséquent fixer les modalités de l'administration des preuves propres à élucider le point de fait sur lequel l'autorité compétente sera appelée à se prononcer à la suite du présent arrêt. Le second chef de conclusions de la recourante est donc irrecevable.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