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144</w:t>
      </w:r>
    </w:p>
    <w:p>
      <w:r>
        <w:t>Bundesgericht (BGE), 1968-01-01, IT</w:t>
      </w:r>
    </w:p>
    <w:p>
      <w:r>
        <w:rPr>
          <w:b/>
        </w:rPr>
        <w:t xml:space="preserve">Quelle: </w:t>
      </w:r>
      <w:r>
        <w:t>https://mcp.opencaselaw.ch/entscheid/bge_BGE_94_IV_144</w:t>
      </w:r>
    </w:p>
    <w:p>
      <w:r>
        <w:t>FR: ATF 94 IV 144</w:t>
      </w:r>
    </w:p>
    <w:p>
      <w:r>
        <w:t>IT: DTF 94 IV 144</w:t>
      </w:r>
    </w:p>
    <w:p>
      <w:pPr>
        <w:pStyle w:val="Heading2"/>
      </w:pPr>
      <w:r>
        <w:t>Regeste</w:t>
      </w:r>
    </w:p>
    <w:p>
      <w:r>
        <w:t>Regeste Art. 365 StGB und 273 Abs. 1 lit. b BStP. Ob im kantonalen Verfahren eine Frage als Tat- oder Rechtsfrage zu gelten habe, beurteilt sich nach dem kantonalen Prozessrecht; sie kann daher nicht Gegenstand einer Nichtigkeitsbeschwerde an das Bundesgericht sein.</w:t>
      </w:r>
    </w:p>
    <w:p>
      <w:r>
        <w:t>Regeste Art. 365 CP et 273 al. 1 lit. b PPF. Dans les instances cantonales, c'est selon les règles cantonales de procédure que l'on juge si une question relève du droit ou du fait; ce point ne peut donc faire l'objet d'un pourvoi en nullité au Tribunal fédéral.</w:t>
      </w:r>
    </w:p>
    <w:p>
      <w:r>
        <w:t>Regesto Art. 365 CP e 273 cpv. 1 lett. b PPF Il problema di stabilire in sede cantonale se una questione è di fatto o di diritto concerne il diritto processuale cantonale e, pertanto, non può costituire oggetto di ricorso per cassazione al Tribunale federale.</w:t>
      </w:r>
    </w:p>
    <w:p>
      <w:pPr>
        <w:pStyle w:val="Heading2"/>
      </w:pPr>
      <w:r>
        <w:t>Erwägungen</w:t>
      </w:r>
    </w:p>
    <w:p>
      <w:r>
        <w:rPr>
          <w:b/>
        </w:rPr>
        <w:t>E. 4</w:t>
      </w:r>
    </w:p>
    <w:p>
      <w:r>
        <w:t>Secondo la Corte cantonale, la questione di stabilire se gli atti del controllo cantina sono essenziali per la determinazione dell'imponibile fiscale del contribuente è di fatto, per cui, il relativo accertamento non essendo stato censurato come arbitrario, essa è vincolata al giudizio del Pretore. Ne consegue che a tale proposito, secondo il diritto ticinese, il giudizio di questo giudice sarebbe normalmente di istanza unica cantonale. Il ricorrente afferma che tratterebbesi, ad ogni modo, di una questione di diritto; l'argomentazione della Corte cantonale violerebbe l'art. 8 LB. Il Tribunale federale definisce le questioni di fatto e di diritto in applicazione degli art. 269 cpv. 1, 273 cpv. 1 lett. b e 277 bis cpv. 1 PPF (RU 83 IV 140 consid. 3, 88 IV 114/15, 89 IV 102 consid. 2). Ma procede a tale definizione solo per stabilire i limiti del suo potere di apprezzamento, e quindi della sua competenza ratione materiae. Trattandosi di norme di natura processuale, nel cui ambito il diritto federale non contiene alcuna speciale norma derogatoria (art. 365 CP), in questo campo i cantoni non sono però vincolati alla giurisprudenza stabilita da questa sede nell'interpretazione delle norme del PPF, applicabili al ricorso federale per cassazione. Essi possono BGE 94 IV 144 S. 146 conferire ad un tribunale l'esclusivo giudizio sui fatti e concedere determinati rimedi limitatamente alle questioni di diritto (federale o cantonale). L'interpretazione delle relative norme di diritto cantonale, quand'anche fosse in contrasto con quella espressa dal Tribunale federale in applicazione delle analoghe norme del PPF, non può costituire oggetto di ricorso per cassazione a questa sede (art. 273 cpv. 1 lett. b PPF; cfr. sentenza inedita 12 agosto 1943 su ricorso Procuratore generale della confederazione c. Maderni).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