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313</w:t>
      </w:r>
    </w:p>
    <w:p>
      <w:r>
        <w:t>Bundesgericht (BGE), 1968-01-01, FR</w:t>
      </w:r>
    </w:p>
    <w:p>
      <w:r>
        <w:rPr>
          <w:b/>
        </w:rPr>
        <w:t xml:space="preserve">Quelle: </w:t>
      </w:r>
      <w:r>
        <w:t>https://mcp.opencaselaw.ch/entscheid/bge_BGE_94_II_313</w:t>
      </w:r>
    </w:p>
    <w:p>
      <w:r>
        <w:t>FR: ATF 94 II 313</w:t>
      </w:r>
    </w:p>
    <w:p>
      <w:r>
        <w:t>IT: DTF 94 II 313</w:t>
      </w:r>
    </w:p>
    <w:p>
      <w:pPr>
        <w:pStyle w:val="Heading2"/>
      </w:pPr>
      <w:r>
        <w:t>Regeste</w:t>
      </w:r>
    </w:p>
    <w:p>
      <w:r>
        <w:t>Regeste Gemeinschaftskonto 1. Auf das Gemeinschaftskonto sind zur Hauptsache die Bestimmungen über den Auftrag anwendbar (Erw.2). 2. Der Vertrag kann die Vererblichkeit der Rechte der Auftraggeber vorsehen (Erw. 3). 3. Die Inhaber des Gemeinschaftskontos sind Solidargläubiger; jeder von ihnen ist auf die ganze Forderung berechtigt; durch Befriedigung eines Gläubigers geht auch die Forderung der andern Gläubiger unter (Erw. 4 und 5). 4. Stirbt ein Kontoinhaber, so kann einer seiner Erben die Recht der andern Kontoinhaber durch Belangung des Schuldners im Sinne von Art. 150 Abs. 3 OR beeinträchtigen; er kann aber den Auftrag nur mit Zustimmung der andern Kontoinhaber widerrufen (Erw. 6).</w:t>
      </w:r>
    </w:p>
    <w:p>
      <w:r>
        <w:t>Regeste Compte-joint. 1. Le compte-joint relève essentiellement des régles applicables au mandat (consid. 2). 2. Le contrat peut prévoir que les pouvoirs des mandants passent à leurs héritiers (consid. 3). 3. Les titulaires du compte-joint sont créanciers solidaires; chacun d'eux est titulaire d'une créance; le paiement d'une d'entre elles éteint les autres (consid. 4 et 5). 4. Lorsqu'un titulaire meurt, un de ses héritiers peut infirmer les droits des autres titulaires en ouvrant une poursuite contre le débiteur conformément à l'art 150 al 3 CO; il ne peut, autrement, révoquer le mandat qu'avec l'accord des autres titulaires (consid. 6).</w:t>
      </w:r>
    </w:p>
    <w:p>
      <w:r>
        <w:t>Regesto Conto bancario collettivo. 1. Al conto bancario collettivo sono essenzialmente applicabili le disposizioni sul mandato (consid. 2). 2. Il contratto può prevedere che i poteri dei mandanti passino ai loro eredi (consid. 3). 3. I titolari del conto collettivo sono creditori solidali; ognuno di loro è titolare d'un credito; con il pagamento di un creditore cade anche il credito degli altri (consid. 4 e 5). 4. Se un titolare muore, uno degli eredi può infirmare i diritti degli altri titolari convenendo giudizialmente il debitore ai sensi dell'art. 150 cpv. 3 CO; può tuttavia revocare il mandato solo con il consenso degli altri titolari (consid. 6).</w:t>
      </w:r>
    </w:p>
    <w:p>
      <w:pPr>
        <w:pStyle w:val="Heading2"/>
      </w:pPr>
      <w:r>
        <w:t>Erwägungen</w:t>
      </w:r>
    </w:p>
    <w:p>
      <w:r>
        <w:rPr>
          <w:b/>
        </w:rPr>
        <w:t>E. 1</w:t>
      </w:r>
    </w:p>
    <w:p>
      <w:r>
        <w:t>La valeur litigieuse dépassant 20'000 fr., les parties pouvaient saisir le Tribunal fédéral à la place des juridictions cantonales de par l'art. 41 lit. c OJ.</w:t>
      </w:r>
    </w:p>
    <w:p>
      <w:r>
        <w:rPr>
          <w:b/>
        </w:rPr>
        <w:t>E. 2</w:t>
      </w:r>
    </w:p>
    <w:p>
      <w:r>
        <w:t>La convention du 12 juillet 1963 qualifie les époux X. et Y. de "déposants" et concerne les dépôts aussi bien de monnaies que de titres, papiers-valeurs ou tous autres documents. Effectivement, des dépôts ont été faits sur quatre comptes courants distincts. De plus, selon une lettre de la défenderesse à Y., du 28 février 1968, la première, sur l'ordre de la seconde, BGE 94 II 313 S. 316 payait les frais de séjour de la fille cadette des époux X. et Y. en Suisse. Ainsi, non seulement la défenderesse acceptait des dépôts de ses clients, mais encore elle faisait, au besoin à des tiers, des paiements, selon des ordres qui lui étaient donnés, et tenait les comptes relatifs à ces mouvements de fonds. Si donc le contrat présentait certaines particularités du dépôt, notamment du dépôt irrégulier, il n'avait pas moins pour objet, au premier chef, une gestion au sens de l'art. 394 CO, de sorte qu'il s'agissait essentiellement d'un mandat (arrêt du 25 octobre 1960 en la cause Okcuoglu c. Schweizerische Bankgesellschaft, non publié; GAUTSCHI, Commentaire ad art. 400 CO, n. 37), comme dans le cas du dépôt ouvert avec obligation de gestion assumée par la banque (RO 94 II 169). Au demeurant, dans la mesure où elles seraient applicables, les règles relatives au dépôt n'imposeraient pas une solution différente. Notamment, si le mandat est révocable en tout temps (art. 404 CO), le déposant peut, de même, réclamer la chose déposée (art. 475 CO) et ainsi mettre fin au contrat.</w:t>
      </w:r>
    </w:p>
    <w:p>
      <w:r>
        <w:rPr>
          <w:b/>
        </w:rPr>
        <w:t>E. 3</w:t>
      </w:r>
    </w:p>
    <w:p>
      <w:r>
        <w:t>On admet en général que, vu la nature de l'affaire (art. 405 al. 1 CO), dans les relations entre une banque et son mandant, le décès de celui-ci ne met pas fin au contrat (OSER/SCHÖNENBERGER, Comm. ad art. 405, n. 3). De plus, la convention conclue entre les époux X. et Y. et la défenderesse prévoit qu'au décès de l'un d'eux, l'autre pourra disposer seul du compte. Elle implique donc clairement que le décès ne met pas fin au mandat, ce que l'art. 405 al. 1 CO autorise expressément.</w:t>
      </w:r>
    </w:p>
    <w:p>
      <w:r>
        <w:rPr>
          <w:b/>
        </w:rPr>
        <w:t>E. 4</w:t>
      </w:r>
    </w:p>
    <w:p>
      <w:r>
        <w:t>Le ch. 4 de la convention du 12 juillet 1963 confère sans équivoque à chacun des époux X. et Y. séparément le pouvoir de disposer des titres déposés et des sommes portées en compte courant et de donner valablement quittance et décharge à la banque par sa signature individuelle. La clause les désigne comme "déposants solidaires", "solidairement titulaires" des comptes courants. Les époux X. et Y. étaient donc solidairement créanciers de la banque selon l'art. 150 CO (solidarité active; RO 94 II 170; OSER/SCHÖNENBERGER, Comm. ad art. 150 CO, n. 3). Dans un tel cas, selon le droit suisse, chacun des codéposants est titulaire d'une créance; ces créances ont le même objet, de sorte que le paiement de l'une éteint l'autre. Symétriquement, BGE 94 II 313 S. 317 l'obligation solidaire, qui est une par l'objet de la prestation, se décompose en autant de dettes qu'il y a de coobligés, obligations qui sont distinctes (RO 28 I 408; 50 III 85 ; OSER/SCHÖNENBERGER, Remarques préliminaires sur les art. 143 à 150 , n. 10; v. TUHR, Allg. Teil des schweizerischen Obligationenrechts, p. 678; BECKER, Remarques préliminaires sur les art. 143 à 150 , n. 5). On ne saurait soutenir - la défenderesse elle-même ne le tente pas du reste - que les titulaires d'un compte-joint ne seraient pas créanciers solidaires, mais n'auraient qu'un simple pouvoir de disposition; il y aurait ainsi une créance unique, mais dont pourraient disposer plusieurs personnes (opinion soutenue par A. MATTER, Zur rechtlichen Konstruktion des compte-joint, RSJ 1947, p. 319). Rien, dans la loi, n'autorise une telle analyse. La notion même de créance s'y oppose; on ne voit pas que l'on puisse distinguer de la créance le pouvoir de disposer, lequel est l'attribut même de la propriété (art. 641 CC); de plus, il faudrait, selon cette théorie, ou bien admettre qu'il existe une dette sans créancier ou bien considérer comme tel l'un des titulaires du pouvoir de disposer, ce qui obligerait à prendre en considération les rapports internes entre ces personnes, rapports dont le mandataire dépositaire n'a pas à connaître; enfin, on se heurterait à des difficultés extrêmes en cas de poursuites exercées contre l'un des titulaires du compte. En droit allemand aussi, du reste, qui procède des mêmes sources que le droit suisse (droit commun), la doctrine cite comme exemple typique de la créance solidaire celle que confère à des époux ne vivant pas sous le régime de la communauté le contrat par lequel ils se font ouvrir en banque un compte-joint dont chacun peut disposer individuellement (LLEHMANN, dans Enneccerus-Kipp-Wolff, 15e éd., Tübingen 1958 II p. 365; LARENZ, Lehrbuch des Schuldrechts, 5e éd., München und Berlin 1962, p. 353; BGB, Kommentar herausgegeben von Reichsgerichtsräten und Bundesrichtern, n. 4 ad § 428). La jurisprudence consacre la même solution (Bank-Archiv 37-38, p. 434; NJW 1961 I p. 510). Le droit français suit des principes identiques (HAMEL, Banques et opérations de banque, Paris 1933, t. I, p. 513).</w:t>
      </w:r>
    </w:p>
    <w:p>
      <w:r>
        <w:rPr>
          <w:b/>
        </w:rPr>
        <w:t>E. 5</w:t>
      </w:r>
    </w:p>
    <w:p>
      <w:r>
        <w:t>Il suit de là que la demanderesse, en sa qualité de créancière, pouvait disposer des valeurs confiées à la défenderesse et cela même après le décès de son mari. Celui-ci disposait, BGE 94 II 313 S. 318 de son vivant, du même droit, qui passait en principe à ses héritiers, puisque, comme on l'a montré, le décès des créanciers solidaires ne mettait pas fin au mandat conféré à la défenderesse. Point n'est besoin de décider si la lettre de la clause selon laquelle "le survivant pourra valablement disposer seul" exclut ou non les droits des héritiers du prémourant; dans l'affirmative, l'action devrait manifestement être admise. Mais il n'en irait pas autrement dans la négative.</w:t>
      </w:r>
    </w:p>
    <w:p>
      <w:r>
        <w:rPr>
          <w:b/>
        </w:rPr>
        <w:t>E. 6</w:t>
      </w:r>
    </w:p>
    <w:p>
      <w:r>
        <w:t>Dans ce cas, en effet, Z. aurait pu infirmer les droits de ses cohéritiers, de par l'art. 150 al. 3 CO, en ouvrant une poursuite contre le débiteur. Elle ne l'a pas fait et une simple sommation verbale ou sous seing privé ne suffit pas, du point de vue de cette disposition légale (OSER/SCHÖNENBERGER, Comm. ad art. 150 CO, n. 5; pour le droit français: HAMEL, op.cit., t. I, p. 515). L'art. 150 al. 3, cependant, qui s'applique à toute créance solidaire, quelle que soit sa cause, ne concerne en rien les conséquences qui peuvent découler des rapports juridiques particuliers dont cette créance est issue. Ces rapports, constitutifs de mandats, de dépôts ou de prêts, peuvent prendre fin selon les règles qui leur sont propres et à l'application desquelles l'art. 150 al. 3 CO ne fait pas obstacle. Il n'exclut nullement, par exemple, que le déposant, le mandant ou le prêteur demande la restitution du dépôt ou du prêt ou révoque le mandat. On a montré que la créance solidaire créait une relation juridique unique avec une pluralité de créances et, corrélativement, de dettes. Cette relation, régie par les règles du mandat, respectivement du dépôt, est issue d'une manifestation de volonté conjointe, en l'espèce celle des époux X. et Y. De leur vivant, aucun d'eux n'aurait pu, unilatéralement, révoquer le mandat de la banque; seule une révocation conjointe eût été opérante (cf., pour le droit allemand, § 356 BGB; § 425 auquel renvoie le § 429 BGB; STAUDINGER, 9e éd., comm. ad § 429 BGB, n. II, 1; PLANCK-SIBER, ibidem, n. 5; OERTMANN, 5e éd., comm. ad § 428, n. 2 et ad § 429, n. 2 b; contra, cependant: HELLWIG, Anspruch und Klagerecht, Jena 1900, p. 197, n. 24). C'est ainsi du reste que, dans le cas de la solidarité passive, l'un des débiteurs solidaires ne peut, par son fait personnel, aggraver la situation des autres (art. 146 CO). Z. n'aurait donc pu mettre fin au mandat conféré à la défenderesse BGE 94 II 313 S. 319 par ses parents que si elle avait eu qualité pour agir au nom des ayants droit de son père prédécédé et d'accord avec sa mère. Or aucune de ces deux conditions n'est réalisée.</w:t>
      </w:r>
    </w:p>
    <w:p>
      <w:r>
        <w:rPr>
          <w:b/>
        </w:rPr>
        <w:t>E. 7</w:t>
      </w:r>
    </w:p>
    <w:p>
      <w:r>
        <w:t>La demande n'est pas litigieuse sur les montants, ni sur les taux de conversion des monnaies. L'intérêt moratoire est dû dès la communication de la mise en demeure, soit le 4 avril 1968 pour les avoirs en compte à vue et dès l'échéance pour les comptes à trois mois de terme. Par lettre du 10 septembre 1968, communiquée avant le dépôt de la réponse, la demanderesse a complété ses conclusions par une demande de mainlevée définitive. Cela était admissible de par l'art. 26 al. 1 PCF.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