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122</w:t>
      </w:r>
    </w:p>
    <w:p>
      <w:r>
        <w:t>Bundesgericht (BGE), 1968-01-01, FR</w:t>
      </w:r>
    </w:p>
    <w:p>
      <w:r>
        <w:rPr>
          <w:b/>
        </w:rPr>
        <w:t xml:space="preserve">Quelle: </w:t>
      </w:r>
      <w:r>
        <w:t>https://mcp.opencaselaw.ch/entscheid/bge_BGE_94_II_122</w:t>
      </w:r>
    </w:p>
    <w:p>
      <w:r>
        <w:t>FR: ATF 94 II 122</w:t>
      </w:r>
    </w:p>
    <w:p>
      <w:r>
        <w:t>IT: DTF 94 II 122</w:t>
      </w:r>
    </w:p>
    <w:p>
      <w:pPr>
        <w:pStyle w:val="Heading2"/>
      </w:pPr>
      <w:r>
        <w:t>Regeste</w:t>
      </w:r>
    </w:p>
    <w:p>
      <w:r>
        <w:t>Regeste Klage auf Auflösung einer einfachen Gesellschaft. Art. 530 ff. OR. Bestreitet der Beklagte das Bestehen einer einfachen Gesellschaft, so beläuft sich der Streitwert auf den Gesamtwert des gemeinsamen Vermögens (Erw. 1). Ein bloss eventuelles rechtliches Interesse des Berufungsklägers rechtfertigt das Eintreten auf die Berufung (Erw. 2). Liegt ein Gesellschaftsvertrag vor, wenn jemand sich verpflichtet, von einem andern herausgegebene Bücher zu verkaufen gegen Bezahlung einer nach Massgabe des erzielten Umsatzes berechneten Vergütung? Verneinung dieser Frage für den vorliegenden Fall (Erw. 3 und 4).</w:t>
      </w:r>
    </w:p>
    <w:p>
      <w:r>
        <w:t>Regeste Action en dissolution d'une société simple. Art. 530 ss. CO. Lorsque l'existence même de la société est contestée par le défendeur, la valeur litigieuse est égale à la valeur totale des biens communs (consid. 1). Un intérêt juridique éventuel du recourant suffit à justifier l'entrée en matière (consid. 2). Le contrat par lequel une personne s'engage à vendre les livres édités par une autre, moyennant rémunération calculée en fonction du chiffre d'affaires réalisé, est-il un contrat de société? Question résolue par la négative en l'espèce (consid. 3 et 4).</w:t>
      </w:r>
    </w:p>
    <w:p>
      <w:r>
        <w:t>Regesto Azione tendente allo scioglimento di una società semplice. Art. 530 e segg. CO. Quando il convenuto contesta l'esistenza medesima della società, il valore litigioso coincide con il valore totale dei beni comuni (consid. 1). Un interesse giuridico puramente eventuale del ricorrente basta a giustificare l'entrata in materia (consid. 2). Il contratto con il quale una persona si impegna a vendere libri pubblicati da un'altra, mediante una rimunerazione calcolata in base alla cifra d'affari conseguita, è un contratto di società? Questione risolta per la negativa nella fattispecie (consid. 3 e 4).</w:t>
      </w:r>
    </w:p>
    <w:p>
      <w:pPr>
        <w:pStyle w:val="Heading2"/>
      </w:pPr>
      <w:r>
        <w:t>Erwägungen</w:t>
      </w:r>
    </w:p>
    <w:p>
      <w:r>
        <w:rPr>
          <w:b/>
        </w:rPr>
        <w:t>E. 1</w:t>
      </w:r>
    </w:p>
    <w:p>
      <w:r>
        <w:t>L'action tend à la dissolution d'une société simple. La défenderesse et recourante conteste l'existence même d'un contrat de société. Par analogie avec la solution de l'arrêt Steiner (RO 86 II 455), où le droit au partage d'une succession était contesté, c'est la valeur totale des biens communs qui représente la valeur litigieuse. Il ressort du dossier que cette valeur atteint au moins 8000 fr.</w:t>
      </w:r>
    </w:p>
    <w:p>
      <w:r>
        <w:rPr>
          <w:b/>
        </w:rPr>
        <w:t>E. 2</w:t>
      </w:r>
    </w:p>
    <w:p>
      <w:r>
        <w:t>Conclue pour la diffusion d'un livre de luxe, la convention du 14 avril 1960 a été étendue ultérieurement à trois autres ouvrages. En revanche, ainsi que l'a constaté souverainement le premier juge, elle ne vise pas les peintures, dessins, sculptures et autres objets confiés à la demanderesse pour être vendus. En tant qu'ils concernent ces objets, les rapports entre les parties sont en dehors du présent procès. Dame Poncet est rentrée en possession des ouvrages invendus. La convention définit de façon précise les modalités du règlement de comptes entre les parties. On peut dès lors se demander si la recourante a un intérêt juridique à faire juger que la convention n'est pas un contrat de société. Il n'est pas exclu toutefois BGE 94 II 122 S. 125 qu'au cours du règlement de comptes, la qualification du contrat revête une certaine importance. Or il suffit d'un intérêt éventuel pour justifier l'entrée en matière. Le recours est ainsi recevable.</w:t>
      </w:r>
    </w:p>
    <w:p>
      <w:r>
        <w:rPr>
          <w:b/>
        </w:rPr>
        <w:t>E. 3</w:t>
      </w:r>
    </w:p>
    <w:p>
      <w:r>
        <w:t>Les parties sont en désaccord sur la qualification du contrat. Vu l'art. 18 CO, il convient de rechercher leur réelle et commune intention, sans s'arrêter aux expressions inexactes dont elles ont pu se servir. Ainsi que le relève le jugement de première instance, auquel le Tribunal cantonal se réfère, le fait que dame Herren a biffé, dans le projet Poncet, l'intitulé et les clauses contenant le terme de société n'est pas en soi déterminant. Il se peut en effet que, ce faisant, elle n'ait pas altéré le sens du projet, dont les clauses principales ont passé en grande partie dans la convention du 14 avril 1960. Néanmoins, la comparaison du projet et du contrat met en évidence ce que les parties, délibérément, ont voulu exclure. C'est là un élément d'appréciation qui paraît avoir échappé aux juridictions cantonales.</w:t>
      </w:r>
    </w:p>
    <w:p>
      <w:r>
        <w:rPr>
          <w:b/>
        </w:rPr>
        <w:t>E. 4</w:t>
      </w:r>
    </w:p>
    <w:p>
      <w:r>
        <w:t>Il y a contrat de société lorsque les parties conviennent d'unir leurs efforts ou leurs ressources en vue d'atteindre un but commun (art. 530 CO). a) Dans le projet, la mise en commun des moyens était prévue de manière non équivoque. Selon l'ensemble du texte et notamment l'art. 10, dame Poncet se chargeait de l'édition et en avançait les frais, mais pour le compte des deux associées, qui devenaient propriétaires en main commune du stock de livres qu'en cas de mévente elles devaient se partager dans la même proportion que le bénéfice ou le déficit. S'il y avait une répartition des attributions des sociétaires, eu égard aux connaissances différentes dont elles faisaient apport à la société, le but commun était lui aussi clairement défini. Selon l'art. 1 en effet, les parties convenaient de créer entre elles une société simple "en vue de l'édition de livres de luxe". b) Ces éléments - caractéristiques de la société - font défaut dans le contrat du 14 avril 1960. Celui-ci commence par constater un fait: dame Poncet édite un ouvrage de grand luxe dans sa collection "La Rose des Vents". Elle n'assume pas l'obligation de procéder à cette édition, ni celle de faire apport à un fonds commun des exemplaires du livre édité. La clause 2, qui suit immédiatement, prévoit que dame Poncet "cède à Madame Herren, qui accepte, la diffusion de ce livre". Viennent BGE 94 II 122 S. 126 ensuite des dispositions fixant les modalités selon lesquelles dame Herren se charge de chercher des amateurs et déterminant les conditions de sa rémunération. Il apparaît ainsi que l'objet du contrat n'est plus que la "diffusion", soit la vente d'un stock de livres édités par dame Poncet seule. L'édition elle-même est en dehors de l'accord des parties. Celles-ci ne conviennent plus de mettre en commun ressources ou efforts. Au contraire, dame Herren seule s'oblige à réaliser le but du contrat, la diffusion du livre, contre rémunération. Sans doute, les parties ont-elles toutes deux intérêt à vendre le plus grand nombre d'exemplaires possible au prix le plus élevé. Cette convergence des intérêts n'est cependant pas un but commun et n'est au reste nullement propre au contrat de société. c) Certes, il y a dans l'accord des parties deux éléments qui le rapprochent d'un contrat de société. La rémunération de dame Herren est aléatoire et lui fait partager dans une large mesure les risques et les profits de l'entreprise. Cet élément, caractéristique de tous les contrats partiaires, ne suffit cependant pas pour qu'il y ait société. Un agent (RO 83 II 38), un courtier (RO 23 II 1063 consid. 3) peuvent être rémunérés par une participation au gain sans entrer en société avec leur commettant (cf. SIEGWART, Vorb. 74 ad art. 530-551 CO; CROME, Die Partiarischen Rechtsgeschäfte, Fribourg-en-B. 1897, p. 406, 438, 454). Le contrat d'édition fixant les honoraires de l'auteur en pour-cent de la vente n'est pas davantage un contrat de société (art. 389 al. 2 CO). Les parties sont convenues que les prix à demander seraient fixés entre elles. Cet accord n'implique pas, comme le pense le juge de première instance, que dame Poncet ait abandonné partiellement ses attributions d'éditeur. S'il est vrai qu'en vertu de l'art. 384 CO, l'éditeur fixe le prix de vente, cette disposition légale vise uniquement les relations contractuelles entre l'éditeur et l'auteur, qui ne sont pas en cause ici. Même réunis, ces deux éléments qui pourraient rapprocher le contrat d'une société ne sauraient l'emporter sur le fait, décisif, que seule dame Herren s'est engagée à mettre son activité au service du but visé par la convention, à savoir la vente des livres contre rémunération. Les parties n'ont pas mis en commun des biens ni joint leurs efforts, ni adopté une organisation commune. Dame Herren organisait librement son activité. BGE 94 II 122 S. 127 La convention prévoit un échange de prestations. Elle revêt le caractère d'un contrat synallagmatique et non celui d'une société. d) Cette solution est confirmée par la manière dont le contrat a été exécuté. Tant qu'a duré la collaboration des parties, dame Herren a remis à dame Poncet des reçus et des décomptes mentionnant les ouvrages conservés par elle "en consignation", "en dépôt" ou "en stock". La convention du 22 décembre 1965 ne fait aucune distinction entre les livres objet du contrat litigieux et les oeuvres d'art qu'en dehors de ce contrat, dame Poncet a confiées à dame Herren pour la vente. Enfin, les invendus ont été restitués à dame Poncet. Au demeurant, c'est dame Herren elle-même qui, après avoir refusé de constituer une société et exigé la modification du projet de convention, plaide aujourd'hui l'existence d'une société. Si les expressions dont usent les parties dans leur contrat ne sont pas déterminantes, elles jouissent néanmoins d'une certaine présomption d'exactitude (SIEGWART, Vorb. 66 et 71 ad art. 530-551 CO). Le refus clairement manifesté par dame Herren est donc un élément de plus à l'encontre de sa thèse.</w:t>
      </w:r>
    </w:p>
    <w:p>
      <w:r>
        <w:rPr>
          <w:b/>
        </w:rPr>
        <w:t>E. 5</w:t>
      </w:r>
    </w:p>
    <w:p>
      <w:r>
        <w:t>La cour de céans n'a pas à qualifier le contrat en cause. L'inexistence d'un contrat de société justifie à elle seule l'admission du recours et le rejet de la demande.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