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55</w:t>
      </w:r>
    </w:p>
    <w:p>
      <w:r>
        <w:t>Bundesgericht (BGE), 1968-01-01, DE</w:t>
      </w:r>
    </w:p>
    <w:p>
      <w:r>
        <w:rPr>
          <w:b/>
        </w:rPr>
        <w:t xml:space="preserve">Quelle: </w:t>
      </w:r>
      <w:r>
        <w:t>https://mcp.opencaselaw.ch/entscheid/bge_BGE_94_III_55</w:t>
      </w:r>
    </w:p>
    <w:p>
      <w:r>
        <w:t>FR: ATF 94 III 55</w:t>
      </w:r>
    </w:p>
    <w:p>
      <w:r>
        <w:t>IT: DTF 94 III 55</w:t>
      </w:r>
    </w:p>
    <w:p>
      <w:pPr>
        <w:pStyle w:val="Heading2"/>
      </w:pPr>
      <w:r>
        <w:t>Regeste</w:t>
      </w:r>
    </w:p>
    <w:p>
      <w:r>
        <w:t>Regeste Allgemeine Stellung, Amtsentsetzung und Ausstandspflicht des Sachwalters im Nachlassverfahren, namentlich in demjenigen der Banken und Sparkassen. Rekurs ans Bundesgericht. 1. Stellung des Sachwalters im allgemeinen (Erw. 2). Im gewöhnlichen Nachlassverfahren steht der nicht beamtete Sachwalter unter der Disziplinargewalt der Nachlassbehörde (Erw. 2 a). Das gleiche gilt für den Sachwalter im Nachlassverfahren der Banken und Sparkassen (Erw. 2 b). Die Nachlassbehörde hat auch Streitigkeiten darüber zu beurteilen, ob diese Organe nach dem auf sie entsprechend anzuwendenden Art. 10 SchKG zum Ausstand verpflichtet sind (Erw. 2 c). 2. Wieweit können Entscheide der kantonalen Aufsichtsbehörden im Sinne von Art. 13 SchKG, welche Disziplinarmassnahmen anordnen oder ablehnen, durch Rekurs nach Art. 19 SchKG an das Bundesgericht weitergezogen werden? (Zusammenfassung der Rechtsprechung). Gegen Disziplinarentscheide der Nachlassbehörde im gewöhnlichen Nachlassverfahren ist dieser Rekurs nicht zulässig. Dagegen können im Nachlassverfahren der Banken und Sparkassen alle Entscheide der Nachlassbehörde, auch solche über die Frage der Absetzung des Sachwalters, an das Bundesgericht weitergezogen werden; ebenso Entscheide der Nachlassbehörde über die Ausstandspflicht des Sachwalters (Art. 53 Abs. 2 der VV zum BankG; Erw. 3). 3. Abberufung oder Ausstand des Sachwalters wegen einer angeblich voreiligen und unrichtigen Mitteilung? (Erw. 4).</w:t>
      </w:r>
    </w:p>
    <w:p>
      <w:r>
        <w:t>Regeste Condition juridique, révocation et récusation du commissaire au sursis dans la procédure concordataire, spécialement dans le concordat des banques et caisses d'épargne. Recours au Tribunal fédéral. 1. Condition juridique du commissaire au sursis en général (consid. 2). Dans le concordat ordinaire, le commissaire au sursis qui n'est pas fonctionnaire est soumis au pouvoir disciplinaire de l'autorité concordataire (consid. 2 a). La même règle vaut pour le commissaire au sursis dans le concordat des banques et caisses d'épargne (consid. 2 b). L'autorité concordataire tranche aussi les contestations sur le point de savoir si ces organes sont tenus de se récuser en vertu de l'art. 10 LP qui leur est applicable par analogie (consid. 2 c). 2. Dans quelle mesure les décisions des autorités cantonales de surveillance (art. 13 LP) qui ordonnent ou refusent de prendre des mesures disciplinaires peuvent-elles être déférées au Tribunal fédéral par le recours prévu à l'art. 19 LP? (Rappel de la jurisprudence). Un pareil recours n'est pas recevable contre les décisions rendues en matière disciplinaire dans le concordat ordinaire. En revanche, dans le concordat des banques et caisses d'épargne, toutes les décisions de l'autorité concordataire, même celles qui portent sur la révocation du commissaire au sursis, peuvent être déférées au Tribunal fédéral; il en va de même pour les décisionsde l'autorité concordataire qui traitent de la récusation du commissaire au sursis (art. 53 al. 2 du règlement d'exécution de la loi sur les banques et les caisses d'épargne du 30 août 1961, ROLF 1961 p. 703 ss; consid. 3). 3. Une communication qualifiée de prématurée et d'inexacte par le destinataire justifie-t-elle la révocation ou la récusation du commissaire au sursis? (consid. 4).</w:t>
      </w:r>
    </w:p>
    <w:p>
      <w:r>
        <w:t>Regesto Posizione giuridica, revoca e ricusazione del commissario nella procedura concordataria, specialmente nel concordato delle banche e delle casse di risparmio. Ricorso al Tribunale federale. 1. Posizione giuridica del commissario del concordato in genere (consid. 2). Nel concordato usuale il commissario che non è funzionario è sottoposto al potere disciplinare dell'autorità dei concordati (consid. 2 a). La stessa regola vale per il commissario nella procedura concordataria delle banche e delle casse di risparmio (consid. 2 b). L'autorità dei concordati decide pure le contestazioni circa il quesito di sapere se questi organi sono tenuti di ricusarsi in virtù dell'art. 10 LEF che è loro applicabile per analogia (consid. 2 c). 2. In quale misura le decisioni delle autorità cantonali di vigilanza (art. 13 LEF) che ordinano o rifiutano provvedimenti disciplinari possono essere impugnate davanti al Tribunale federale mediante il ricorso previsto all'art. 19 LEF? (Richiamo della giurisprudenza). Un simile ricorso non è ammissibile contro le decisioni disciplinari dell'autorità dei concordati nella procedura concordataria ordinaria. Per contro, nel concordato delle banche e casse di risparmio, tutte le decisioni dell'autorità concordataria, comprese quelle che concernono la revoca del commissario, possono essere deferite al Tribunale federale; lo stesso dicasi per le decisioni dell'autorità dei concordati concernenti la ricusazione del commissario (art. 53 cpv. 2 RE della LBCR del 30 agosto 1961, RU 1961 p. 719 e segg; consid. 3). 3. Una comunicazione qualificata come prematura e inesatta dal destinatario giustifica la revoca o la ricusazione del commissario? (consid. 4).</w:t>
      </w:r>
    </w:p>
    <w:p>
      <w:pPr>
        <w:pStyle w:val="Heading2"/>
      </w:pPr>
      <w:r>
        <w:t>Erwägungen</w:t>
      </w:r>
    </w:p>
    <w:p>
      <w:r>
        <w:rPr>
          <w:b/>
        </w:rPr>
        <w:t>E. 1</w:t>
      </w:r>
    </w:p>
    <w:p>
      <w:r>
        <w:t>Im Nachlassverfahren von Banken und Sparkassen ernennt nach Art. 37 Abs. 1 des Bundesgesetzes über die Banken und Sparkassen vom 8. November 1934 (BankG) die Nachlassbehörde den Sachwalter, falls nicht schon ein Kommissär dafür bestellt ist (vgl. zu diesem - im vorliegenden Falle nicht erheblichen - Vorbehalt Art. 30 Abs. 1 und 35 Abs. 3 BankG). Als Nachlassbehörde für Banken und Sparkassen haben die Kantonsregierungen nach Art. 37 Abs. 8 BankG eine einzige kantonale Instanz zu bestimmen. Als solche bezeichnete der Regierungsrat des Kantons Zürich durch Beschluss vom 16. Mai 1935 das Handelsgericht.</w:t>
      </w:r>
    </w:p>
    <w:p>
      <w:r>
        <w:rPr>
          <w:b/>
        </w:rPr>
        <w:t>E. 2</w:t>
      </w:r>
    </w:p>
    <w:p>
      <w:r>
        <w:t>Das BankG, die Vollziehungsverordnung dazu vom 30. August 1961 (VV) und die Verordnung des Bundesgerichts vom 11. April 1935 betr. das Nachlassverfahren von Banken und Sparkassen (VNB) enthalten Bestimmungen über die Beschwerdeführung gegen die Verfügungen des Sachwalters ( Art. 37 Abs. 2 BankG , Art. 53 Abs. 1 VV), über die Weiterziehung der Beschwerdeentscheide der Nachlassbehörde ( Art. 37 Abs. 2 BankG , Art. 53 Abs. 2 VV) sowie über bestimmte Aufgaben des Sachwalters (Art. 54 VV, Art. 3 ff. VNB ). Soweit diese Sondervorschriften die Stellung und die Aufgaben des für eine Bank oder Sparkasse bestellten Sachwalters nicht regeln, sind die Vorschriften des Schuldbetreibungs- und Konkursgesetzes (insbesondere Art. 295 Abs. 2 SchKG ) und die Praxis dazu heranzuziehen (vgl. R. REIMANN, Kommentar zum schweiz. Bankengesetz, 1963, N. 3 zu Art. 37 BankG ). Im Nachlassverfahren von Banken und Sparkassen ist der Sachwalter also wie im gemeinrechtlichen Nachlassverfahren nach Art. 293 ff. SchKG ein öffentliches Organ des Staates zur Leitung des Verfahrens; er hat die Interessen des Schuldners und der Gläubiger gleichermassen zu wahren; seine Stellung entspricht grundsätzlich derjenigen des Konkursamtes oder einer ausseramtlichen BGE 94 III 55 S. 59 Konkursverwaltung ( BGE 92 III 45 mit Hinweis auf JAEGER, N. 4 und JAEGER/DAENIKER, SchK-Praxis, N. 3 zu Art. 295 SchKG ; vgl. BGE 94 III 24 ). Von diesem letzten Grundsatze bestehen jedoch Ausnahmen, die mit der verschiedenen Art der Ernennung zusammenhängen. a) Obwohl Art. 295 Abs. 3 SchKG in bezug auf die Geschäftsführung des Sachwalters u.a. den Art. 17 SchKG als entsprechend anwendbar erklärt und damit gegen die Verfügungen des Sachwalters die Beschwerde an die Aufsichtsbehörde im Sinne von Art. 13 SchKG zulässt, was eine Kontrolle der Geschäftsführung des Sachwalters durch diese Behörde mit sich bringt, steht die Disziplinargewalt über den Sachwalter im gemeinrechtlichen Nachlassverfahren nach der Rechtsprechung nicht der Aufsichtsbehörde im Sinne von Art. 13 SchKG zu, sondern der Nachlassbehörde, die den Sachwalter ernannt hat ( BGE 68 III 125 /126). Das gilt auf jeden Fall dann, wenn als Sachwalter nicht der Betreibungsbeamte oder ein Konkursbeamter (vgl. Art. 295 Abs. 1 Satz 2 SchKG ) bezeichnet wurde. Ein Sachwalter, der nicht Betreibungs- oder Konkursbeamter ist, gehört nicht zu den Beamten und Angestellten im Sinne von Art. 14 Abs. 2 SchKG , welche die Aufsichtsbehörde mit den dort vorgesehenen Disziplinarstrafen belegen kann (JAEGER, N. 4 zu Art. 14 SchKG ; vgl. BGE 68 III 126 ). Die Stellung eines solchen Sachwalters unterscheidet sich in diesem Punkte von jener der nach kantonalem Recht ernannten Konkursbeamten und der von den Gläubigern gewählten ausseramtlichen Konkursverwaltung, die nach der Rechtsprechung des Bundesgerichts der Disziplinargewalt der Aufsichtsbehörde im Sinne von Art. 13 SchKG untersteht, obwohl der ihre Stellung regelnde Art. 241 SchKG nicht ausdrücklich auf Art. 14 SchKG verweist ( BGE 38 I 199 ff. Erw. 2-5, BGE 39 I 501 Erw. 5 = Sep.ausg. 15 S. 13 ff., 16 S. 203). Der Auffassung JAEGERS, ein pflichtwidrig handelnder Sachwalter könne, obwohl der nicht beamtete Sachwalter nicht zu den der Disziplinargewalt der Aufsichtsbehörde unterstehenden Beamten gehört, von der Aufsichtsbehörde kraft ihres Aufsichtsrechts abgesetzt werden (N. 4 zu Art. 14 SchKG ), kann nicht beigestimmt werden. Die Abberufung wegen pflichtwidrigen Verhaltens ist eine Disziplinarmassnahme, die der Nachlassbehörde als Trägerin der Disziplinargewalt zusteht. - Für die Absetzung eines Sachwalters wegen Unfähigkeit (die allerdings BGE 94 III 55 S. 60 weniger eine Disziplinarmassnahme als eine Massnahme der allgemeinen Justizverwaltung ist) nimmt JAEGER in N. 3 zu Art. 295 SchKG selber an, sie könne auf Beschwerde eines Gläubigers oder Schuldners, eventuell auf Anzeige der Aufsichtsbehörde, von der Nachlassbehörde verfügt werden. b) Im Nachlassverfahren der Banken und Sparkassen wird die Disziplinargewalt über den Sachwalter, wie das im gemeinrechtlichen Nachlassverfahren auf jeden Fall für den nicht beamteten Sachwalter gilt, nicht von der Aufsichtsbehörde im Sinne von Art. 13 SchKG , sondern von der ihn ernennenden Nachlassbehörde ausgeübt. Das lässt sich um so weniger bezweifeln, als die Nachlassbehörde im Nachlassverfahren der Banken und Sparkassen auch zur Beurteilung der Beschwerden gegen die Verfügungen des Sachwalters berufen ist ( Art. 37 Abs. 2 BankG ), während die Aufsichtsbehörde im Sinne von Art. 13 SchKG im BankG und in den zugehörigen Verordnungen überhaupt nicht als Trägerin einer Aufgabe in diesem Verfahren erwähnt wird. c) Wie für die Disziplinaraufsicht über den nicht beamteten Sachwalter im gemeinrechtlichen Nachlassverfahren und über den Sachwalter im Nachlassverfahren der Banken und Sparkassen muss in diesen beiden Verfahren anstelle der Aufsichtsbehörde im Sinne von Art. 13 SchKG die den Sachwalter ernennende Nachlassbehörde zuständig sein, Streitigkeiten über die Ausstandspflicht des Sachwalters zu beurteilen und gegebenenfalls den ausstandspflichtigen Sachwalter durch einen andern zu ersetzen oder wenigstens zur Besorgung eines bestimmten Geschäfts einen Stellvertreter zu bezeichnen (vgl. zum letzten Punkte JAEGER, N. 10 a.E. zu Art. 10 SchKG : Vertretung des Konkursbeamten bei bestimmten Handlungen, die er nach Art. 10 Abs. 1 Ziff. 1-3 nicht vornehmen darf). Art. 295 Abs. 3 SchKG verweist zwar nicht auf die Vorschrift des Art. 10 SchKG über die Ausstandspflicht, doch drängt sich die Anwendung dieser im Interesse einer unparteiischen Geschäftsführung aufgestellten Bestimmung auf den Sachwalter gebieterisch auf (vgl. JAEGER N. 3 zu Art. 295 SchKG ).</w:t>
      </w:r>
    </w:p>
    <w:p>
      <w:r>
        <w:rPr>
          <w:b/>
        </w:rPr>
        <w:t>E. 3</w:t>
      </w:r>
    </w:p>
    <w:p>
      <w:r>
        <w:t>Gegen Disziplinarentscheide der (obern) kantonalen Aufsichtsbehörden im Sinne von Art. 13 SchKG kann der Betroffene nach der Rechtsprechung des Bundesgerichts nur mit der Begründung an das Bundesgericht rekurrieren, der Aufsichtsbehörde fehle die Zuständigkeit zur Ergreifung von BGE 94 III 55 S. 61 Disziplinarmassnahmen gegen den Rekurrenten (welche Frage sich bezüglich der Massnahmen gegen die Mitglieder einer ausseramtlichen Konkursverwaltung stellte) oder das Gesetz ( Art. 14 SchKG ) sehe die verhängte Massnahme nicht vor ( BGE 38 I 198 Erw. 1, BGE 39 I 501 Erw. 5 = Sep.ausg. 15 S. 12, 16 S. 203; BGE 59 III 66 im Gegensatz zuBGE 33 I 675Erw. 1 = Sep.ausg. 10 S. 207). Die Frage, ob die getroffene Massnahme begründet sei, kann der Betroffene nach der Praxis mit einem Rekurs gegen den Entscheid der kantonalen Aufsichtsbehörde nicht aufwerfen, was damit begründet wird, dass es sich hiebei um eine reine Tat- und Angemessenheitsfrage handle und dass die Handhabung der Disziplinargewalt den kantonalen Aufsichtsbehörden vorbehalten sei (vgl. die eben angeführten Entscheide sowieBGE 43 III 93Erw. 3). - Vorwiegend aus dem zuletzt genannten Grunde tritt das Bundesgericht auf Rekursbegehren, mit denen eine am Verfahren als Partei beteiligte Person den Erlass von Disziplinarmassnahmen gegen einen Amtsträger verlangt, nach ständiger Praxis nicht ein ( BGE 35 I 482 Erw. 1, 786 Erw. 1 und 862 Erw. 1 = Sep.ausg. 12 S. 102, 244 und 334; BGE 79 III 154 Erw. 3, BGE 81 III 72 Erw. 3, BGE 90 III 25 Erw. 4, BGE 91 III 46 Erw. 6). Als weiterer Grund für die Unzulässigkeit solcher Rekursbegehren wurde in mehrern Entscheiden angeführt, die Parteien seien zwar befugt, der Aufsichtsbehörde die von einem Beamten begangenen Unregelmässigkeiten anzuzeigen und ihr ein disziplinarisches Einschreiten nahezulegen, doch stehe ihnen kein gesetzliches Recht (kein bundesrechtlicher Anspruch) auf Ausfällung von Ordnungsstrafen durch die Aufsichtsbehörde zu (Entscheid des Bundesrates vom 11. April 1894 i.S. Morgenegg, Archiv für Schuldbetreibung und Konkurs 3 Nr. 39 S. 104; BGE 35 I 786 Erw. 1 = Sep.ausg. 12 S. 244; BGE 91 III 46 Erw. 6). Entscheide kantonaler Nachlassbehörden, welche Disziplinarmassnahmen gegen den Sachwalter im gemeinrechtlichen Nachlassverfahren anordnen oder die Ergreifung solcher Massnahmen ablehnen, können schon deshalb nicht durch Rekurs an die Schuldbetreibungs- und Konkurskammer des Bundesgerichts weitergezogen werden, weil ein solcher Rekurs nach Art. 19 SchKG grundsätzlich nur gegen Entscheide der kantonalen Aufsichtsbehörden zulässig ist. Für das Nachlassverfahren der Banken und Sparkassen wird dagegen in Art. 53 Abs. 2 VV bestimmt: BGE 94 III 55 S. 62 "Für die Beschwerdeführung gegen Entscheide des Stundungsgerichts, des Konkursgerichts und der Nachlassbehörde gelten die Vorschriften über die Weiterziehung von Entscheiden der kantonalen Aufsichtsbehörden über Schuldbetreibung und Konkurs an das Bundesgericht. Alle Entscheide des Konkursgerichts und der Nachlassbehörde können auch wegen Unangemessenheit an das Bundesgericht weitergezogen werden." Diese Vorschrift ist so allgemein gefasst, dass nicht nur die Weiterziehung von Entscheiden über Beschwerden gegen die Verfügungen des Sachwalters im Sinne von Art. 37 Abs. 2 BankG und Art. 53 Abs. 1 VV, sondern auch die Weiterziehung anderer Entscheide der Nachlassbehörde darunter fällt. Sie lässt ausdrücklich die Weiterziehung aller Entscheide der Nachlassbehörde zu (besonders deutlich der französische Text: "Toutes les décisions rendues par... l'autorité de concordat peuvent être déférées au Tribunal fédéral, même pour la raison qu'elles ne sont pas appropriées aux circonstances"). Daher erscheint im Nachlassverfahren der Banken und Sparkassen auch die Weiterziehung positiver und negativer Disziplinarentscheide der Nachlassbehörde als zulässig. Die Prüfungsbefugnis des Bundesgerichts erstreckt sich in diesem Verfahren gemäss ausdrücklicher Vorschrift der massgebenden Verordnung auch auf Fragen der Angemessenheit. Dass in diesem Verfahren den Beteiligten die Weiterziehung kantonaler Entscheide an das Bundesgericht in weiterm Rahmen gestattet wird als in den vom SchKG geregelten Verfahren, hat seinen Grund darin, dass die Bankengesetzgebung die Rechte der Beteiligten, namentlich der Gläubiger, in anderer Hinsicht beschränkt (vgl. BGE 93 III 31 ). Die Erwägung, dass die Disziplinargewalt über die Vollstreckungsorgane den kantonalen Behörden vorbehalten ist und dass die Parteien des Verfahrens zwar zur Anzeige disziplinarischer Verfehlungen befugt sind, dagegen keinen Anspruch auf Anordnung von Disziplinarmassnahmen haben, trifft hauptsächlich mit Bezug auf die nach kantonalem Recht ernannten Betreibungs- und Konkursbeamten zu. Die Absetzung eines von der Nachlassbehörde für eine Bank oder eine Sparkasse bestellten Sachwalters gleicht weniger der Absetzung eines kantonalen Beamten als dem Widerruf eines Auftrages zur Besorgung einer bestimmten Angelegenheit. Die Gründe, die nach der Rechtsprechung zu Art. 14 SchKG die Weiterziehung von Disziplinarentscheiden der kantonalen Aufsichtsbehörden an das Bundesgericht zum BGE 94 III 55 S. 63 Zwecke ihrer materiellen Überprüfung verbieten, verlangen also nicht, dass die in Art. 53 Abs. 2 VV für das Nachlassverfahren der Banken und Sparkassen vorgesehene Möglichkeit des Weiterzugs aller Entscheide der Nachlassbehörde entgegen dem Wortlaut dieser Bestimmung hinsichtlich der Disziplinarentscheide eingeschränkt werde. Dass nach Art. 53 Abs. 2 VV Entscheide der Nachlassbehörde über die Ausstandspflicht des Sachwalters (Erw. 2 c hievor) von den Beteiligten an das Bundesgericht weitergezogen werden können, bedarf keiner nähern Begründung. Die Rekurrentin war also befugt, den Entscheid der kantonalen Nachlassbehörde über ihren Antrag auf Absetzung der für die Bank Koschland &amp; Hepner bestellten Sachwalterin wegen angeblicher Pflichtverletzung und Befangenheit auf dem Wege des Rekurses an das Bundesgericht weiterzuziehen. Die kantonale Nachlassbehörde hat den irrtümlich an die "obere kantonale Aufsichtsbehörde" gerichteten Rekurs zu Recht an das Bundesgericht weitergeleitet.</w:t>
      </w:r>
    </w:p>
    <w:p>
      <w:r>
        <w:rPr>
          <w:b/>
        </w:rPr>
        <w:t>E. 4</w:t>
      </w:r>
    </w:p>
    <w:p>
      <w:r>
        <w:t>In der Sache selbst ist der Rekurs offensichtlich unbegründet. Die Sachwalterin beging keine Pflichtverletzung und zeigte sich auch in keiner Weise befangen, indem sie der Rekurrentin im Schreiben vom 6. März 1968 u.a. mitteilte, ihre Forderung sei nicht privilegiert. ( Art. 10 SchKG erklärt im übrigen die Befangenheit nicht allgemein als Ausstandsgrund, sondern nennt als Ausstandsgründe nur bestimmte Beziehungen zur Sache, welche die Unparteilichkeit in Frage stellen.) Das beanstandete Schreiben enthält nicht eine Verfügung, die erst in einem spätern Stadium des Verfahrens zu treffen wäre, sondern unterrichtet die Rekurrentin nur darüber, wie die Sachwalterin die Frage der Privilegierung der Guthaben der Einleger bei der Bank Koschland &amp; Hepner beurteilte. Diese Orientierung erfolgte, wie die Vorinstanz zu Recht feststellt, aus rein sachlichen Gründen. Dem Entscheid über das Bestehen des von der Rekurrentin beanspruchten Vorrechts, der bei Prüfung der Voraussetzungen für die Bestätigung des Nachlassvertrags ( Art. 306 Abs. 2 Ziff. 2 SchKG , Art. 37 Abs. 6 BankG ) oder in einem allfälligen Kollokationsverfahren zu treffen ist, greift die beanstandete Mitteilung der Sachwalterin nicht vor. Der Rekurrentin bleibt das Recht gewahrt, das behauptete Vorrecht zu gegebener Zeit geltend zu machen. Ihr Begehren, die Sachwalterin sei wegen der erwähnten Mitteilung abzusetzen, BGE 94 III 55 S. 64 ist geradezu missbräuchlich, da sie die Sachwalterin nach ihrer eigenen Darstellung in der Beschwerde vom 24. Februar 1968 um eine Auskunft über die Voraussetzungen der Privilegierung ihres Guthabens ersucht hat. Ob die ihr daraufhin erteilte Auskunft richtig war, ist für die Beurteilung des Antrags auf Absetzung der Sachwalterin unerheblich und daher im vorliegenden Verfahren nicht zu prüfen. Dass die Sachwalterin ihre Auskunft wider besseres Wissen erteilt habe, wird ihr mit Recht nicht vorgeworfen. Ein blosser Irrtum über die Rechtslage, wie er behauptet wird, wäre kein Absetzungsgrund.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