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w:t>
      </w:r>
    </w:p>
    <w:p>
      <w:r>
        <w:t>Bundesgericht (BGE), 1968-01-01, DE</w:t>
      </w:r>
    </w:p>
    <w:p>
      <w:r>
        <w:rPr>
          <w:b/>
        </w:rPr>
        <w:t xml:space="preserve">Quelle: </w:t>
      </w:r>
      <w:r>
        <w:t>https://mcp.opencaselaw.ch/entscheid/bge_BGE_94_III_4</w:t>
      </w:r>
    </w:p>
    <w:p>
      <w:r>
        <w:t>FR: ATF 94 III 4</w:t>
      </w:r>
    </w:p>
    <w:p>
      <w:r>
        <w:t>IT: DTF 94 III 4</w:t>
      </w:r>
    </w:p>
    <w:p>
      <w:pPr>
        <w:pStyle w:val="Heading2"/>
      </w:pPr>
      <w:r>
        <w:t>Regeste</w:t>
      </w:r>
    </w:p>
    <w:p>
      <w:r>
        <w:t>Regeste Lohnpfändung (Art. 93 SchKG); Beitragspflicht der Ehefrau (Art. 192 Abs. 2, 246 Abs. 1 ZGB). 1. Bei der Lohnpfändung sind die Beiträge der Ehefrau des Schuldners an die ehelichen Lasten unabhängig von der Art der in Betreibung gesetzten Forderung als Einkünfte des Schuldners zu berücksichtigen. 2. Befugnis der Betreibungsbehörden, vorfrageweise über die Beitragspflicht der Ehefrau zu befinden. Gültiger Verzicht des Ehemanns auf Beiträge der Ehefrau? 3. Bemessung der Beiträge. Massgebende Umstände. Ermessen der Betreibungsbehörden.</w:t>
      </w:r>
    </w:p>
    <w:p>
      <w:r>
        <w:t>Regeste Saisie de salaire (art. 93 LP); contribution de l'épouse aux charges du mariage (art. 192 al. 2 et 246 al. 1 CC). 1. En cas de saisie de salaire, la contribution de l'épouse du débiteur aux charges du mariage doit être comprise dans les revenus du débiteur, quelle que soit la nature de la créance qui fait l'objet de la poursuite. 2. Compétence des autorités de poursuite pour trancher préjudiciellement le point de savoir si l'épouse est tenue de contribuer aux charges du mariage. Le mari a-t-il renoncé valablement, en l'espèce, à la contribution de l'épouse? 3. Mesure de la contribution. Circonstances déterminantes. Pouvoir d'appréciation des autorités de poursuite.</w:t>
      </w:r>
    </w:p>
    <w:p>
      <w:r>
        <w:t>Regesto Pignoramento di salario (art. 93 LEF); contribuzione della moglie alle spese comuni (art. 192 cpv. 2 e 246 cpv. 1 CC). 1. In caso di pignoramento del salario, la contribuzione della moglie del debitore alle spese comuni dev'essere compresa tra le entrate del debitore, qualunque sia la natura del credito oggetto dell'esecuzione. 2. Competenza dell'autorità di esecuzione per decidere in via pregiudiziale sull'obbligo della moglie di contribuire alle spese comuni. Valida rinuncia del marito alla contribuzione della moglie? 3. Commisurazione dei contributi. Circostanze determinanti. Potere d'apprezzamento delle autorità di esecuzione.</w:t>
      </w:r>
    </w:p>
    <w:p>
      <w:pPr>
        <w:pStyle w:val="Heading2"/>
      </w:pPr>
      <w:r>
        <w:t>Erwägungen</w:t>
      </w:r>
    </w:p>
    <w:p>
      <w:r>
        <w:rPr>
          <w:b/>
        </w:rPr>
        <w:t>E. 1</w:t>
      </w:r>
    </w:p>
    <w:p>
      <w:r>
        <w:t>Nach Art. 192 Abs. 2 ZGB hat die Ehefrau ihren Arbeitserwerb, der nach Art. 191 Ziff. 3 ZGB zu ihrem gemäss Art. 192 Abs. 1 ZGB unter den Regeln der Gütertrennung stehenden Sondergut gehört, soweit erforderlich für die Bedürfnisse des Haushalts zu verwenden, und nach Art. 246 Abs. 1 ZGB kann der Ehemann bei Gütertrennung verlangen, dass ihm die Ehefrau zur Tragung der ehelichen Lasten einen angemessenen Beitrag leiste (vgl. zum Verhältnis zwischen Art. 192 Abs. 2 und Art. 192 Abs. 1 in Verbindung mit Art. 246 ZGBBGE 63 III 108ff. Erw. 2, BGE 73 II 100 f. Erw. 2 und LEMP N. 15 zu Art. 192, N. 25 zu Art. 246 ZGB ). Die Leistungen, auf die der Ehemann nach diesen Bestimmungen BGE 94 III 4 S. 6 Anspruch hat, sind beim Vollzug einer Lohnpfändung gegen ihn als Einkünfte zu berücksichtigen, da sich im Umfang dieser Leistungen der aus seinem Lohn zu deckende Aufwand für den Unterhalt der Familie vermindert, und zwar gilt dieser Grundsatz unabhängig davon, welcher Art die in Betreibung gesetzte Forderung ist ( BGE 63 III 108 ff., BGE 79 I 116 Erw. 3, BGE 79 III 152 /153, BGE 80 III 32 , BGE 82 III 29 Erw. 2, BGE 85 I 5 /6). Die vom Rekurrenten angerufenen Art. 243 und 245 ZGB , wonach bei der Gütertrennung für voreheliche Schulden eines Ehegatten nur dieser selbst haftet und der Erwerb dem Ehegatten gehört, von dessen Arbeit er herrührt, werden durch diese Praxis nicht verletzt; denn sie macht die Ehefrau nicht für die Schulden des Mannes haftbar und stellt ihr Eigentum an ihrem Arbeitserwerb nicht in Frage, sondern beschränkt sich darauf, beim Entscheid darüber, ob und in welchem Umfang der Lohn des Ehemannes nach Art. 93 SchKG pfändbar sei, die nach Art. 192 und 246 ZGB von der Ehefrau zu erbringenden Leistungen zu seinem Einkommen zu rechnen. Das Betreibungsamt war also grundsätzlich befugt, bei der Lohnpfändung gegen den Rekurrenten die Beitragspflicht der Ehefrau zu berücksichtigen, obwohl die Betreibung eine voreheliche Schuld des Rekurrenten betrifft.</w:t>
      </w:r>
    </w:p>
    <w:p>
      <w:r>
        <w:rPr>
          <w:b/>
        </w:rPr>
        <w:t>E. 2</w:t>
      </w:r>
    </w:p>
    <w:p>
      <w:r>
        <w:t>Aufl., N. 6 a, und EGGER, 2. Aufl., N. 3/4 zu Art. 246 ZGB ; anderer Meinung namentlich LEMP N. 13 zu Art. 246 ZGB ). Ein formloser Verzicht des Ehemannes auf zukünftige Beiträge ist dagegen auf jeden Fall dann unbeachtlich, wenn er eigens zur Vereitelung einer bevorstehenden Lohnpfändung ausgesprochen wurde ( BGE 79 III 153 , BGE 60 III 57 ). Die blosse Tatsache, dass der Ehemann Beiträge bisher nicht verlangt und die Ehefrau solche auch nicht geleistet hat, kann einer Nachforderung von Beiträgen für die Vergangenheit entgegenstehen ( BGE 39 I 262 = Sep. ausg. 16 S. 73, wo § 1427 [aufgehoben durch das Gleichberechtigungsgesetz vom 18. Juni 1957] statt § 1247 des deutschen BGB zitiert sein sollte; GMÜR N. 5, EGGER N. 4, LEMP N. 9 in Verbindung mit N. 10 zu Art. 246 ZGB ). Ein Verzicht für die Zukunft ist jedoch aus dieser Tatsache nicht abzuleiten. Im vorliegenden Falle wurde der Beitrag, den die Ehefrau des Rekurrenten aus ihrem Arbeitserwerb an die Kosten des Haushalts zu leisten hat, nicht bereits durch die zuständige Behörde im Sinne von Art. 246 Abs. 2 ZGB festgesetzt. Anderseits wurde die Beitragspflicht der Ehefrau im Ehevertrag, durch den der Rekurrent und seine Frau vor der Heirat Gütertrennung vereinbarten, nach dem Zugeständnis des Rekurrenten nicht ausdrücklich wegbedungen. Die in der Rekursschrift an das Bundesgericht aufgestellte Behauptung, der Ehevertrag sei u.a. gerade deswegen geschlossen worden, damit die Ehefrau in keiner Weise durch die vorehelichen Schulden des Rekurrenten berührt werde, und es habe dem Willen der Vertragschliessenden entsprochen, ihre Beitragspflicht auszuschliessen, ist neu. Sie ist nicht zu hören, da der Rekurrent schon im kantonalen Verfahren Gelegenheit hatte, sie vorzubringen ( Art. 79 Abs. 1 Satz 2 OG ). Im übrigen ist sie unbewiesen und überhaupt unerheblich; denn falls sie nachgewiesen wäre, hätte man es, da der Ehevertrag in diesem Punkte schweigt, nicht mit einem ehevertraglichen Ausschluss der Beitragspflicht zu tun, sondern mit einem unbeachtlichen formlosen Verzicht auf Beiträge zwecks Verhinderung künftiger Lohnpfändungen. - Neu und unerheblich ist auch die weitere Behauptung des Rekurrenten, er habe Beiträge bisher nicht verlangt. Das Betreibungsamt war demnach befugt, vorfrageweise über die Beitragspflicht der Ehefrau des Rekurrenten zu befinden. BGE 94 III 4 S. 8</w:t>
      </w:r>
    </w:p>
    <w:p>
      <w:r>
        <w:rPr>
          <w:b/>
        </w:rPr>
        <w:t>E. 3</w:t>
      </w:r>
    </w:p>
    <w:p>
      <w:r>
        <w:t>Bei der Festsetzung des Beitrags der Ehefrau sind die gegenwärtigen Lebensbedürfnisse der Familie ( BGE 63 III 112 oben), die Mittel und die Verpflichtungen des Mannes und der Frau ( BGE 82 III 30 , BGE 63 III 111 , BGE 61 III 15 ff.) und die sonstigen Leistungen der Ehefrau für die eheliche Gemeinschaft, insbesondere für den Haushalt ( BGE 65 III 27 /28, BGE 78 III 125 unten) zu berücksichtigen (LEMP N. 20 ff. zu Art. 246 ZGB ). Der Beitrag der Frau kann unter Umständen auf die Hälfte oder sogar auf zwei Drittel ihres Verdienstes festgesetzt werden, selbst wenn nicht eine Betreibung für Unterhaltsbeiträge (vgl. hiezuBGE 78 III 121ff.) in Frage steht ( BGE 65 III 28 , BGE 73 II 101 , BGE 82 III 30 ). Der eigene Verdienst des - überschuldeten - Rekurrenten deckt nur ungefähr den Notbedarf der Familie im weitern Sinne (Notbedarf des Rekurrenten und seiner Ehefrau; Unterhaltsleistungen für die geschiedene Frau des Rekurrenten und für seinen Sohn aus erster Ehe). Die Ehefrau verdient unstreitig Fr. 750.-- pro Monat, wovon sie Fr. 245.-- für die Abzahlung von Möbeln verwendet, die sie gekauft hat. Bei dieser Sachlage ist der von den kantonalen Behörden festgesetzte Beitrag von Fr. 200.-- pro Monat nicht übersetzt, selbst wenn die Ehefrau für eine von der Krankenkasse nur teilweise bezahlte Heilbehandlung gewisse Aufwendungen zu machen hat, wie das der Rekurrent im kantonalen Verfahren behauptet hat, ohne diese Auslagen zu beziffern. Die vom Rekurrenten erwähnte Möglichkeit, dass die Ehefrau ihre Erwerbstätigkeit aufgeben oder die monatlichen Abzahlungen erhöhen könnte, ist nicht zu berücksichtigen, weil das Betreibungsamt bei der Festsetzung des pfändbaren Lohnbetrags auf die Verhältnisse zur Zeit des Pfändungsvollzugs abzustellen hat ( BGE 77 III 162 /163). Der kantonale Entscheid (der nur hinsichtlich des Beitrags der Ehefrau angefochten wurde) ist daher zu bestätigen. Die kantonalen Behörden haben das ihnen zustehende Ermessen bei der Würdigung der nach Bundesrecht zu beachtenden Umstände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