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67</w:t>
      </w:r>
    </w:p>
    <w:p>
      <w:r>
        <w:t>Bundesgericht (BGE), 1958-12-30, DE</w:t>
      </w:r>
    </w:p>
    <w:p>
      <w:r>
        <w:rPr>
          <w:b/>
        </w:rPr>
        <w:t xml:space="preserve">Quelle: </w:t>
      </w:r>
      <w:r>
        <w:t>https://mcp.opencaselaw.ch/entscheid/bge_BGE_93_I_67</w:t>
      </w:r>
    </w:p>
    <w:p>
      <w:r>
        <w:t>FR: ATF 93 I 67</w:t>
      </w:r>
    </w:p>
    <w:p>
      <w:r>
        <w:t>IT: DTF 93 I 67</w:t>
      </w:r>
    </w:p>
    <w:p>
      <w:pPr>
        <w:pStyle w:val="Heading2"/>
      </w:pPr>
      <w:r>
        <w:t>Regeste</w:t>
      </w:r>
    </w:p>
    <w:p>
      <w:r>
        <w:t>Regeste Vermögensrechtliche Ansprüche eines vom Bundesrat entlassenen Mitglieds der Landesverteidigungskommission. 1. Zuständigkeit des Bundesgerichts als einziger Instanz nach Art. 110 und 112 OG (Erw. 1). 2. Bis wann hat der Kläger nach Art. 22 und 23 des BRB über den Flugdienst der Fliegertruppen vom 30. Dezember 1958 Anspruch auf Entschädigung für das Flugtraining? (Erw. 2). 3. Dem Kläger können die in Art. 9 Abs. 4 der Verordnung über die Rechtsstellung der Mitglieder der Landesverteidigungskommission vom 21. November 1961 vorgesehenen Zusatzleistungen nicht gewährt werden, da er nach einer besonderen Übergangsbestimmung dieser Verordnung im Beamtenverhältnis stand (Erw. 3). 4. Der Anspruch des Klägers auf Genugtuung nach Art. 6 Abs. 2 des Verantwortlichkeitsgesetzes ist unbegründet, weil die Rechtmässigkeit der Entlassungsverfügung gemäss Art. 12 dieses Gesetzes im Verantwortlichkeitsverfahren nicht überprüft werden kann und weder die Art der Mitteilung der sofortigen Dienstenthebung an den Betroffenen noch deren Bekanntgabe im Parlament und im Rundspruch widerrechtlich ist (Erw. 4).</w:t>
      </w:r>
    </w:p>
    <w:p>
      <w:r>
        <w:t>Regeste Prétentions pécuniaires élevées par un membre de la commission de défense nationale licencié par le Conseil fédéral. 1. Compétence du tribunal fédéral pour statuer en instance unique selon les art. 110 et 112 OJ (consid. 1). 2. Jusqu'à quel moment le demandeur a-t-il droit à l'indemnité pour l'entraînement au vol selon les art. 22 et 23 de l'ACF du 30 décembre 1958 concernant le service de vol dans les troupes d'aviation? (consid. 2). 3. On ne peut accorder au demandeur les indemnités supplémentaires prévues par l'art. 9 al. 4 de l'ordonnance du 21 novembre 1961 sur la situation juridique des membres de la commission de défense nationale, car il était soumis au statut des fonctionnaires de par une disposition transitoire spéciale de cette ordonnance (consid. 3). 4. La réclamation d'une indemnité à titre de réparation morale, élevée par le demandeur en vertu de l'art. 6 al. 2 de la loi sur la responsabilité, n'est pas fondée; en effet, de par l'art. 12 de cette loi, la légalité de la décision portant licenciement ne peut être contrôlée; de plus, ni la manière dont on a communiqué à l'intéressé sa suspension immédiate, ni l'information que l'on a donnée, sur ce point, au parlement et à la radio ne sont illégales (consid. 4).</w:t>
      </w:r>
    </w:p>
    <w:p>
      <w:r>
        <w:t>Regesto Pretese pecuniarie di un membro della commissione per la difesa nazionale licenziato dal Consiglio federale. 1. Competenza del Tribunale federale quale giurisdizione unica secondo gli art. 110 e 112 OG (consid. 1). 2. Fino a quando l'attore può pretendere, giusta gli art. 22 e 23 del DCF del 30 dicembre 1958 concernente il servizio di volo delle truppe d'aviazione, un'indennità per l'allenamento al volo? (consid. 2). 3. All'attore non si possono concedere le indennità suppletive previste dall'art. 9 cpv. 4 dell'ordinanza del 21 novembre 1961 concernente la posizione giuridica dei membri della commissione per la difesa nazionale, perchè era sottoposto allo statuto dei funzionari in virtù di una disposizione transitoria speciale di tale ordinanza (consid. 3). 4. La pretesa dell'attore relativa ad una indennità per riparazione morale giusta l'art. 6 cpv. 2 della legge sulla responsabilità è infondata perchè la legittimità della decisione di licenziamento, secondo l'art. 12 di tale legge, non può più essere riesaminata in un procedimento per responsabilità; inoltre, nè il modo con cui si è comunicata all'interessato la sospensione immediata dal servizio, nè le informazioni che si sono date, su questo punto, in parlamento e alla radio sono illegali (consid. 4).</w:t>
      </w:r>
    </w:p>
    <w:p>
      <w:pPr>
        <w:pStyle w:val="Heading2"/>
      </w:pPr>
      <w:r>
        <w:t>Erwägungen</w:t>
      </w:r>
    </w:p>
    <w:p>
      <w:r>
        <w:rPr>
          <w:b/>
        </w:rPr>
        <w:t>E. 1</w:t>
      </w:r>
    </w:p>
    <w:p>
      <w:r>
        <w:t>Die Klagebegehren 2 und 3 betreffen vermögensrechtliche Ansprüche des Klägers gegen die Eidgenossenschaft aus seinem Beamtenverhältnis bzw. seiner Stellung als Mitglied der Landesverteidigungskommission und aus dem Verantwortlichkeitsgesetz. Sie sind nach Art. 110 OG und Art. 10 VG vom Bundesgericht als einziger Instanz zu beurteilen. Mit Bezug aus das Klagebegehren 1 hat die Beklagte zunächst die Zuständigkeit des Bundesgerichts bezweifelt mit der Begründung, es handle sich hier nicht um eine beamtenrechtliche, sondern um eine militärische Streitigkeit, die im Verfahren nach Art. 126 Abs. 2 lit. e und Art. 130 des BB über die Verwaltung der schweizerischen Armee vom 30. März 1949/13. Oktober 1965, in letzter Instanz von der Rekurskommission der Eidg. Militärverwaltung, zu beurteilen sei. Diese Frage braucht nicht entschieden zu werden, nachdem sich die Beklagte schliesslich mit der prozessökonomisch gebotenen Lösung, dass dieses Klagebegehren gemeinsam mit den anderen durch das Bundesgericht beurteilt wird, einverstanden erklärt hat. Es liegt eine Prorogation im Sinne des Art. 112 OG vor. Sie ist zulässig, da der Streitwert bei Zusammenrechnung aller in der Klage geltend gemachten Ansprüche (vgl. Art. 47 OG ) mehr als Fr. 20'000.-- beträgt.</w:t>
      </w:r>
    </w:p>
    <w:p>
      <w:r>
        <w:rPr>
          <w:b/>
        </w:rPr>
        <w:t>E. 2</w:t>
      </w:r>
    </w:p>
    <w:p>
      <w:r>
        <w:t>Das Klagebegehren 1 betrifft die Entschädigung für das Flugtraining nach Art. 22 Flugdienst-BRB. Diese wird (im Gegensatz zu der jährlichen Entschädigung für ausserordentliche Dienstleistungen nach Art. 24, die der Kläger für das ganze Jahr 1964 erhalten hat) monatlich ausgerichtet. Art. 23 enthält Vorschriften für Fälle der Einstellung des Flugdienstes im Laufe des Jahres. Gemäss Abs. 1 am Ende wird bei Einstellung im Flugdienst nach Art. 16 der eventuell noch angebrochene Monat voll entschädigt. Die Absätze 4 und 5 bestimmen, dass bei vorläufiger Einstellung im Flugdienst aus medizinischen Gründen sowie bei vorübergehendem Unterbruch des Flugtrainings infolge Auslandaufenthalts von nicht mehr als sechs BGE 93 I 67 S. 72 Monaten unter Beibehaltung des Wohnsitzes in der Schweiz die Entschädigung für den angebrochenen Monat und ausserdem einmal im Jahr höchstens noch für die zwei folgenden Monate ausgerichtet wird. Für andere als die in den Absätzen 4 und 5 genannten Fälle sieht Art. 23 nicht vor, dass die Entschädigung auch für die zwei Monate, die dem angebrochenen Monat folgen, gewährt werden kann. Der Kläger ist weder aus medizinischen Gründen noch wegen vorübergehenden Auslandaufenthalts im Flugdienst eingestellt worden. Er macht jedoch geltend, die in Art. 23 Abs. 4 und 5 Flugdienst-BRB getroffene Ordnung sei in seinem Falle analog anwendbar; denn bei unbegründeter Einstellung im Amte sei ein Anspruch auf Entschädigung für die dort vorgesehene Dauer erst recht gerechtfertigt. Dieser Auffassung kann nicht zugestimmt werden. Die Absätze 4 und 5 des Art. 23 betreffen besondere Fälle, in denen von vornherein feststeht oder zum mindesten vorausgesetzt wird, dass das Flugtraining nicht endgültig eingestellt, sondern lediglich unterbrochen wird. Hier verhält es sich jedoch anders; denn der Kläger ist durch die Verfügung des Bundesrates vom 6. Oktober 1964 nicht nur für eine bestimmte Zeit im Amte eingestellt, sondern zugleich endgültig daraus entlassen und damit auch endgültig im Flugdienst eingestellt worden. In einem solchen Fall ist nach der allgemeinen Regel, die Art. 23 Abs. 1 am Ende Flugdienst-BRB aufstellt, die Entschädigung lediglich noch für den angebrochenen Monat geschuldet. Diese Bestimmung verweist auf Art. 16, wonach der Waffenchef aus den dort angeführten Gründen Flieger im Flugdienst einstellen kann. Art. 16 ist analog anwendbar, wenn der Waffenchef selber von der vorgesetzten Behörde, dem Bundesrat, aus einem dieser Gründe im Flugdienst eingestellt wird. Das ist hier geschehen: Der Kläger wurde vom Bundesrat im Flugdienst eingestellt, weil keine militärische Notwendigkeit mehr bestand, dass er weiterhin diesem Dienst obliege (Art. 16 lit. e). Der Kläger hat daher allerdings - entgegen dem Standpunkt der Beklagten - noch Anspruch auf die Trainingsentschädigung für den Monat Oktober 1964, der im Zeitpunkt seiner Einstellung im Flugdienst angebrochen war. Dagegen ist der für die zwei folgenden Monate erhobene Anspruch unbegründet. Die Trainingsentschädigung, die für die hier massgebende Kategorie Fr. 500. - im Monat ausmacht (Art. 22 Flugdienst-BRB), ist somit nur in diesem Betrage zuzusprechen. BGE 93 I 67 S. 73</w:t>
      </w:r>
    </w:p>
    <w:p>
      <w:r>
        <w:rPr>
          <w:b/>
        </w:rPr>
        <w:t>E. 3</w:t>
      </w:r>
    </w:p>
    <w:p>
      <w:r>
        <w:t>Nach Art. 9 Abs. 4 RStV, worauf das Klagebegehren 2 gestützt wird, kann der Bundesrat Mitgliedern der Landesverteidigungskommission, sofern sie ohne eigenes Verschulden gemäss Art. 4 entlassen werden, im Anschluss an die Entlassung für drei Jahre (jedoch längstens bis zur Erreichung des 65. Altersjahres) eine Zusatzleistung gewähren, die dem Unterschied zwischen der Pension (Invalidenrente der Eidg. Versicherungskasse, gegebenenfalls in Verbindung mit einer Zusatzrente gemäss Instruktorenordnung) und dem bis anhin ausgerichteten Gehalt (Jahresentschädigung gemäss Art. 8) entspricht. Art. 4 gibt dem Bundesrat die Möglichkeit, Mitglieder der Landesverteidigungskommission jederzeit (nach Anhören der Kommission) zu entlassen. Den unter diese Bestimmung fallenden Offizieren ist also - im Gegensatz zu den Beamten - nicht eine feste Amtsdauer garantiert. Die Zusatzleistung soll einerseits einen Ausgleich für diese Unsicherheit ihrer Stellung schaffen und anderseits dem Bundesrat erleichtern, von der Möglichkeit der jederzeitigen Entlassung Gebrauch zu machen. Der Kläger ist jedoch nicht auf Grund des Art. 4 RStV entlassen worden. Diese Bestimmung konnte ihm gegenüber vor Ende 1964 gar nicht angewendet werden, weil er bis dahin nach der Übergangsbestimmung des Art. 13 Abs. 1 RStV dem Beamtengesetz unterstand, d.h. die Garantie der Amtsdauer genoss, die für ihn letztmals Ende 1964 ablief. Tatsächlich ist er erst auf das Ende dieser letzten Amtsdauer entlassen worden und hat er bis zu diesem Zeitpunkt auch sein Gehalt bezogen. Die Garantie der Amtsdauer, die er bis Ende 1964 besass, schliesst es aus, dass ihm die Zusatzleistungen gewährt werden, die er auf Grund des Art. 9 Abs. 4 RStV für die Jahre 1965, 1966 und 1967 beansprucht. Daran ändert es nichts, dass er vom 1. Januar 1965 an ohnehin nicht mehr in Beamteneigenschaft Mitglied der Landesverteidigungskommission hätte bleiben können. Entscheidend ist, dass er bis Ende 1964 mit einer festen Amtsdauer rechnen konnte, sich also bis dahin, im Gegensatz zu den übrigen Mitgliedern der Landesverteidigungskommission, nicht in der unsicheren Stellung befand, welche nach Art. 9 Abs. 4 RStV Voraussetzung des Zuspruchs von Zusatzleistungen ist.</w:t>
      </w:r>
    </w:p>
    <w:p>
      <w:r>
        <w:rPr>
          <w:b/>
        </w:rPr>
        <w:t>E. 4</w:t>
      </w:r>
    </w:p>
    <w:p>
      <w:r>
        <w:t>Das Klagebegehren 3, mit welchem eine vom Gericht zu bestimmende Genugtuung verlangt wird, stützt sich auf das Verantwortlichkeitsgesetz. Nach Art. 6 Abs. 2 in Verbindung mit Art. 3 dieses Gesetzes hat Anspruch gegen den Bund auf BGE 93 I 67 S. 74 Genugtuung, wer in seinen persönlichen Verhältnissen durch ein widerrechtliches und schuldhaftes Verhalten eines Bundesbeamten verletzt wird, sofern die Verletzung und das Verschulden des Beamten besonders schwer sind. Bundesbeamte im Sinne des Verantwortlichkeitsgesetzes sind nach Art. 1. Abs. 1 lit. b auch die Mitglieder des Bundesrates. Der Kläger erachtet als widerrechtlich in erster Linie seine sofortige Einstellung im Dienst und seine Entlassung. Der Beschluss vom 6. Oktober 1964, mit dem der Bundesrat diese Massnahmen angeordnet hat, stellt eine Verfügung dar, die nicht durch ein Rechtsmittel angefochten werden kann, also formell rechtskräftig ist. Nach Art. 12 VG kann aber die Rechtmässigkeit einer solchen Verfügung nicht in einem Verantwortlichkeitsverfahren überprüft werden. Ist somit die erwähnte Verfügung des Bundesrates vom 6. Oktober 1964 im Verantwortlichkeitsprozess als rechtmässig anzusehen, so erweist sich der Genugtuungsanspruch des Klägers insoweit, als er auf die behauptete Widerrechtlichkeit dieser Verfügung gestützt wird, ohne weiteres als unbegründet. Sodann macht der Kläger geltend, widerrechtlich sei auch die Bekanntgabe seiner sofortigen Dienstenthebung im Parlament und im schweizerischen Radio sowie die Art der Mitteilung an ihn, nämlich durch das Telephon während einer von ihm vorgenommenen Inspektion. Indessen könnten diese Handlungen nur dann als widerrechtlich betrachtet werden, wenn der Bundesrat damit gegen seine Amtspflichten verstossen oder sein Ermessen missbraucht hätte (vgl. BGE 91 I 455 Erw. 5 c). Das ist jedoch offensichtlich nicht der Fall. Der Bundesrat musste vor dem Ständerat, der in der kritischen Zeit über die Anträge der parlamentarischen Arbeitsgemeinschaft in der Mirage-Angelegenheit beriet, am 7. Oktober 1964 hiezu Stellung nehmen und dabei auch die soeben gegenüber dem Kläger getroffene Verfügung bekanntgeben. Dazu war er auf Grund seiner politischen Verantwortlichkeit gegenüber dem Parlament verpflichtet. Aber auch die Öffentlichkeit hatte ein berechtigtes Interesse daran, über den Stand der Mirage-Angelegenheit, die von grosser staatspolitischer Bedeutung war und allgemeines Aufsehen erregte, laufend aufgeklärt zu werden. Es war daher gegeben, dass die Enthebung des Klägers von seinem Amte auch der Bevölkerung, durch das Mittel des Rundspruchs und der Presse, unverzüglich mitgeteilt wurde. Gegenüber BGE 93 I 67 S. 75 dem Interesse der Öffentlichkeit hieran hatten die privaten Interessen des Klägers zurückzutreten. Die sofortige Dienstenthebung musste indessen vorab dem Kläger selber eröffnet werden. Es war richtig, dass dies geschah, bevor die Massnahme allgemein bekannt wurde; denn es wäre für den Kläger besonders stossend gewesen, wenn ihm die Nachricht zuerst durch den Rundspruch oder die Presse zugetragen worden wäre. Es ist daher verständlich, dass der Weg der telephonischen Mitteilung gewählt wurde. Gewiss kann man sich fragen, ob nicht ein etwas weniger brüskes Vorgehen angezeigt gewesen wäre. Aber geradezu widerrechtlich ist die telephonische Eröffnung nicht. Sie ist es umsoweniger, als sie den Kläger nicht ganz unvorbereitet traf; war ihm doch kurz vorher nahegelegt worden, sein Amt zur Verfügung zu stellen. Der Genugtuungsanspruch des Klägers ist somit im vollen Umfange schon deshalb unbegründet, weil den Mitgliedern des Bundesrates nicht ein widerrechtliches Handeln zur Last gelegt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