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607</w:t>
      </w:r>
    </w:p>
    <w:p>
      <w:r>
        <w:t>Bundesgericht (BGE), 1967-10-27, FR</w:t>
      </w:r>
    </w:p>
    <w:p>
      <w:r>
        <w:rPr>
          <w:b/>
        </w:rPr>
        <w:t xml:space="preserve">Quelle: </w:t>
      </w:r>
      <w:r>
        <w:t>https://mcp.opencaselaw.ch/entscheid/bge_BGE_93_I_607</w:t>
      </w:r>
    </w:p>
    <w:p>
      <w:r>
        <w:t>FR: ATF 93 I 607</w:t>
      </w:r>
    </w:p>
    <w:p>
      <w:r>
        <w:t>IT: DTF 93 I 607</w:t>
      </w:r>
    </w:p>
    <w:p>
      <w:pPr>
        <w:pStyle w:val="Heading2"/>
      </w:pPr>
      <w:r>
        <w:t>Regeste</w:t>
      </w:r>
    </w:p>
    <w:p>
      <w:r>
        <w:t>Regeste Art. 97 ff. OG. Ist die Verwaltungsgerichtsbeschwerde zulässig gegen eine Verfügung, welche das Beweisverfahren in Gang setzt?</w:t>
      </w:r>
    </w:p>
    <w:p>
      <w:r>
        <w:t>Regeste Art. 97 ss. OJ. Peut-on former un recours de droit administratif contre une décision destinée à acheminer la procédure probatoire?</w:t>
      </w:r>
    </w:p>
    <w:p>
      <w:r>
        <w:t>Regesto Art. 97 e segg. OG. Il ricorso di diritto amministrativo è ammissibile contro una decisione che mette in moto una procedura probatoria?</w:t>
      </w:r>
    </w:p>
    <w:p>
      <w:pPr>
        <w:pStyle w:val="Heading2"/>
      </w:pPr>
      <w:r>
        <w:t>Volltext</w:t>
      </w:r>
    </w:p>
    <w:p>
      <w:r>
        <w:t>Bundesgericht (BGE) Band I 1967 BGE 93 I 607 Tribunal fédéral (ATF) Volume I 1967 BGE 93 I 607 Tribunale federale (DTF) Volume Ia 1967 BGE 93 I 607</w:t>
      </w:r>
    </w:p>
    <w:p>
      <w:r>
        <w:t>Regeste Art. 97 ff. OG. Ist die Verwaltungsgerichtsbeschwerde zulässig gegen eine Verfügung, welche das Beweisverfahren in Gang setzt? Regeste Art. 97 ss. OJ. Peut-on former un recours de droit administratif contre une décision destinée à acheminer la procédure probatoire? Regesto Art. 97 e segg. OG. Il ricorso di diritto amministrativo è ammissibile contro una decisione che mette in moto una procedura probatoria?</w:t>
      </w:r>
    </w:p>
    <w:p>
      <w:r>
        <w:t>Urteilskopf 93 I 607 77. Extrait de l'arrêt du 27 octobre 1967 dans la cause X. contre Commission fribourgeoise de recours en matière d'impôt. Regeste Art. 97 ff. OG . Ist die Verwaltungsgerichtsbeschwerde zulässig gegen eine Verfügung, welche das Beweisverfahren in Gang setzt? Erwägungen ab Seite 607 BGE 93 I 607 S. 607 Extrait des motifs: 2. La décision attaquée ordonne une expertise des comptes du recourant et en fixe les modalités. Contre une telle décision, soutient la Commission, le recours de droit administratif est irrecevable. Elle se réfère notamment à un arrêt du Tribunal fédéral du 28 septembre 1962 (Archives, vol. 31, p. 498, consid. 2), selon lequel une simple ordonnance tendant à acheminer la procédure en matière de contributions de droit fédéral ne peut être attaquée par la voie du recours de droit administratif. BGE 93 I 607 S. 608 Les art. 97 ss. OJ n'opèrent pas de distinction, comme le font les art. 48 à 50 et 87 OJ, entre les décisions finales et les décisions préjudicielles ou incidentes pour soumettre à certaines conditions la recevabilité du recours de droit administratif dirigé contre ces dernières. Cela ne signifie pas pour autant que toutes les décisions de cette seconde catégorie puissent faire l'objet d'un recours de droit administratif. Le Tribunal fédéral a jugé recevable le recours dirigé contre une décision préjudicielle qui admet la compétence de la juridiction saisie, la qualité pour défendre (RO 92 I 70) ou le principe de l'assujettissement à l'impôt pour la défense nationale (RO 86 I 2o8/299). Il y a lieu de relever que, prises séparément du fond, ces décisions étaient de nature à provoquer immédiatement une décision finale. En effet, rendues dans le sens opposé, elles auraient mis fin à l'instance. Certaines décisions préjudicielles ou incidentes n'offrent pas cette possibilité. C'est notamment le cas des décisions destinées à acheminer la procédure probatoire. A leur égard, il convient de s'en tenir à la règle dégagée par la jurisprudence, selon laquelle les art. 97 ss. OJ visent principalement les décisions qui concernent le fond (RO 85 I 198, Archives, vol. 31 p. 498/499). Une exception cependant a été faite en vue de l'hypothèse où, contrairement à une règle du droit fédéral, elles mettraient en péril les prétentions du recourant (RO 85 I 198). En l'espèce, ces prétentions consistent dans le droit à une imposition qui soit conforme à la loi. Or le recourant ne prétend pas et on ne voit pas non plus comment la décision attaquée, simple ordonnance tendant à acheminer la procédure de l'enquête prévue par l'art. 109 AIN, pourrait entraver ou empêcher la réalisation de ce droit. Cela étant, son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