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561</w:t>
      </w:r>
    </w:p>
    <w:p>
      <w:r>
        <w:t>Bundesgericht (BGE), 1967-01-01, FR</w:t>
      </w:r>
    </w:p>
    <w:p>
      <w:r>
        <w:rPr>
          <w:b/>
        </w:rPr>
        <w:t xml:space="preserve">Quelle: </w:t>
      </w:r>
      <w:r>
        <w:t>https://mcp.opencaselaw.ch/entscheid/bge_BGE_93_I_561</w:t>
      </w:r>
    </w:p>
    <w:p>
      <w:r>
        <w:t>FR: ATF 93 I 561</w:t>
      </w:r>
    </w:p>
    <w:p>
      <w:r>
        <w:t>IT: DTF 93 I 561</w:t>
      </w:r>
    </w:p>
    <w:p>
      <w:pPr>
        <w:pStyle w:val="Heading2"/>
      </w:pPr>
      <w:r>
        <w:t>Regeste</w:t>
      </w:r>
    </w:p>
    <w:p>
      <w:r>
        <w:t>Regeste Art. 944 Abs. 2, 952 OR; 45/46 HRegV. 1. Auf die Firmabezeichnung der schweizerischen Zweigniederlassung eines Unternehmens mit Hauptsitz im Ausland anwendbare Bestimmungen (Erw. 1). 2. Voraussetzungen, unter denen das eidgen. Amt für das Handelsregister ausnahmsweise die Verwendung einer nationalen Bezeichnung oder eines territorialen oder regionalen Zusatzes in einer Firma gestatten kann. Prüfungsbefugnis des Bundesgerichts bei verwaltungsgerichtlicher Beschwerde gemäss Art. 97 ff. OG (Erw. 2). 3. Die Nichtzulassung der Firma "Eurobel" bedeutet keinen Ermessensmissbrauch des eidg. Handelsregisteramtes (Erw. 3 und 4).</w:t>
      </w:r>
    </w:p>
    <w:p>
      <w:r>
        <w:t>Regeste Art. 944 al. 2, 952 CO, 45 et 46 ORC. 1. Règles applicables à la raison de commerce de la succursale suisse d'une entreprise dont le siège principal est à l'étranger (consid. 1). 2. Conditions requises pour que l'Office fédéral du registre du commerce puisse autoriser exceptionnellement l'emploi dans une raison de commerce d'une désignation nationale ou d'une mention territoriale ou régionale. Pouvoir d'examen du Tribunal fédéral, saisi d'un recours de droit administratif en vertu des art. 97 ss OJ (consid. 2). 3. En refusant d'admettre la raison de commerce "Eurobel", l'Office fédéral du registre du commerce n'abuse pas de son pouvoir d'appréciation (consid. 3 et 4).</w:t>
      </w:r>
    </w:p>
    <w:p>
      <w:r>
        <w:t>Regesto Art. 944 cpv. 2, 952 CO; 45 e 46 ORC. 1. Norme applicabili alla ditta commerciale della succursale svizzera di un'azienda che ha la sede principale all'estero (consid. 1). 2. Presupposti perchè l'Ufficio federale del registro di commercio possa autorizzare, in via eccezionale, l'uso di una designazione nazionale o di una designazione territoriale nella ditta. Potere d'esame del Tribunale federale, investito d'un ricorso di diritto amministrativo ai sensi degli art. 97 e segg. OG (consid. 2). 3. Rifiutando di ammettere la ditta commerciale "Eurobel", l'Ufficio federale del registro di commercio non abusa del suo potere d'apprezzamento (consid. 3 e 4).</w:t>
      </w:r>
    </w:p>
    <w:p>
      <w:pPr>
        <w:pStyle w:val="Heading2"/>
      </w:pPr>
      <w:r>
        <w:t>Erwägungen</w:t>
      </w:r>
    </w:p>
    <w:p>
      <w:r>
        <w:rPr>
          <w:b/>
        </w:rPr>
        <w:t>E. 1</w:t>
      </w:r>
    </w:p>
    <w:p>
      <w:r>
        <w:t>En vertu de l'art. 952 CO, qui leur est applicable (RO 90 II 200, consid. 4), les succursales suisses des entreprises dont le siège principal est à l'étranger sont tenues d'avoir la même raison de commerce que l'établissement principal; elles peuvent y apporter une adjonction spéciale qui ne s'adapte qu'à elles seules. Il faut en outre que la raison mentionne le siège de l'établissement principal et celui de la succursale, laquelle doit être désignée expressément avec sa qualité. Assurément, la raison de la succursale suisse d'une entreprise dont le siège principal se trouve à l'étranger, est régie en principe par le droit étranger (RO 37 II 374). Mais la succursale suisse ne peut être inscrite au registre du commerce que si elle est conforme aux prescriptions impératives du droit public suisse relatives à la formation des raisons de commerce (BURCKHARDT, Le droit fédéral suisse, trad. par BOVET, vol. III, No 1556 II al. 2, p. 986; DE STEIGER/FAVEY, Les raisons de commerce en droit suisse, p. 48). Il appartient dès lors à l'entreprise étrangère qui veut installer une succursale en Suisse de se conformer à la législation de ce pays (RO 90 II 201, consid. 4).</w:t>
      </w:r>
    </w:p>
    <w:p>
      <w:r>
        <w:rPr>
          <w:b/>
        </w:rPr>
        <w:t>E. 2</w:t>
      </w:r>
    </w:p>
    <w:p>
      <w:r>
        <w:t>L'art. 944 al. 2 CO confère au Conseil fédéral le droit de régler par une ordonnance l'emploi des désignations de caractère national ou territorial dans les raisons de commerce. Fondé sur cette délégation législative, le Conseil fédéral a BGE 93 I 561 S. 564 édicté les art. 45 et 46 ORC, qui interdisent en principe les désignations nationales, ainsi que les adjonctions territoriales et régionales. L'Office fédéral du registre du commerce a toutefois la faculté d'autoriser exceptionnellement une dérogation à la règle, lorsque des circonstances spéciales le justifient. Il doit consulter au préalable l'organisme compétent du commerce, de l'industrie ou de l'artisanat. Savoir si des circonstances spéciales justifient l'emploi de désignations nationales, territoriales ou régionales dans une raison de commerce est une question d'appréciation. Mais l'Office fédéral du registre du commerce ne jouit pas en la matière d'un pouvoir illimité. Il doit fonder sa décision sur des motifs objectifs et appliquer les règles du droit et de l'équité, selon le principe général énoncé à l'art. 4 CC (RO 92 I 294, consid. 2). Quant au Tribunal fédéral, saisi d'un recours de droit administratif, il ne saurait substituer sa propre appréciation à celle de l'office. Il se borne à vérifier si la décision attaquée ne viole pas le droit fédéral (art. 104 al. 1 OJ), c'est-à-dire à examiner si l'autorité administrative s'est référée à des critères objectivement déterminants et si elle n'a pas outrepassé les limites que le droit assigne à sa liberté d'appréciation, ni abusé de ce pouvoir (RO 85 I 134, 86 I 248, 91 I 216, 92 I 294).</w:t>
      </w:r>
    </w:p>
    <w:p>
      <w:r>
        <w:rPr>
          <w:b/>
        </w:rPr>
        <w:t>E. 3</w:t>
      </w:r>
    </w:p>
    <w:p>
      <w:r>
        <w:t>Contrairement au qualificatif "international", qui n'est pas une désignation nationale ou territoriale (RO 87 I 307), les deux syllabes "Euro", qui indiquent l'Europe, soit une partie du monde, rentrent dans les adjonctions territoriales visées à l'art. 46 ORC (RO 86 I 247 s.). L'Office fédéral du registre du commerce ne pouvait dès lors autoriser l'inscription de la raison de commerce "Eurobel" que si des circonstances spéciales justifiaient une dérogation à la règle. Consultés en vertu de l'art. 45 al. 2 ORC, le directoire de l'Union suisse du commerce et de l'industrie ainsi que la Chambre vaudoise du commerce et de l'industrie ont émis un avis négatif. Si la raison "Eurobel" se rapproche davantage d'une désignation de fantaisie que la raison "Eurofiduciaire" dont il est question dans l'arrêt publié au RO 86 I 243 ss., elle n'en suggère pas moins que l'entreprise qui s'en sert revêt un caractère officiel ou semi-officiel et exerce son activité dans toute l'Europe. Elle éveille ainsi l'idée d'une coopération économique ou technique sur le plan européen. Cela est d'autant plus vrai que la dernière syllabe "Bel" n'apporte aucune précision sur le genre BGE 93 I 561 S. 565 de l'activité déployée par l'entreprise. Dans son recours, la société affirme que le groupe dont elle fait partie a pour but de fabriquer et de vendre des eaux minérales. Mais sa raison de commerce ne renferme aucune indication dans ce sens. Qui plus est, le but défini par les statuts de la société mère, qui a son siège à Luxembourg, est beaucoup plus large. Il permet des activités propres à induire le public en erreur sur le caractère officiel ou semi-officiel de l'entreprise.</w:t>
      </w:r>
    </w:p>
    <w:p>
      <w:r>
        <w:rPr>
          <w:b/>
        </w:rPr>
        <w:t>E. 4</w:t>
      </w:r>
    </w:p>
    <w:p>
      <w:r>
        <w:t>S'agissant d'appliquer les règles du droit suisse sur la formation des raisons de commerce, il est sans importance que la dénomination "Eurobel" ait été admise dans d'autres pays. L'enquête effectuée auprès de plusieurs ambassades de Suisse en Europe centrale et occidentale a du reste confirmé que la pratique diffère notablement, selon les pays, au sujet des désignations territoriales. Quant aux dénominations d'entités établies à Lausanne, qui comprennent le mot "Europe" ou ses deux premières syllabes, l'Office fédéral du registre du commerce déclare que deux raisons seulement sont inscrites, à savoir "Europhone SA", dont l'inscription a été opérée en 1958, soit avant la jurisprudence instaurée par l'arrêt "Eurofiduciaire" qui a été rendu en 1960 (RO 86 I 243 ss.), et "Euromart Investments SA", dont l'inscription a été autorisée en 1964 en vertu de circonstances spéciales, conformément à l'art. 45 al. 2 ORC. De toute manière, la recourante ne saurait tirer argument d'inscriptions qui auraient été admises à la suite d'une erreur de fait ou d'une méconnaissance des règles de droit (cf. RO 87 I 309). L'examen de la cause montre dès lors qu'en refusant l'autorisation requise par "Eurobel", l'Office fédéral du registre du commerce s'est fondé sur des motifs pertinents et n'a pas abusé de son pouvoir d'appréciation ni dépassé les limites que lui assigne la législation en vigueur.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