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285</w:t>
      </w:r>
    </w:p>
    <w:p>
      <w:r>
        <w:t>Bundesgericht (BGE), 1967-01-01, DE</w:t>
      </w:r>
    </w:p>
    <w:p>
      <w:r>
        <w:rPr>
          <w:b/>
        </w:rPr>
        <w:t xml:space="preserve">Quelle: </w:t>
      </w:r>
      <w:r>
        <w:t>https://mcp.opencaselaw.ch/entscheid/bge_BGE_93_I_285</w:t>
      </w:r>
    </w:p>
    <w:p>
      <w:r>
        <w:t>FR: ATF 93 I 285</w:t>
      </w:r>
    </w:p>
    <w:p>
      <w:r>
        <w:t>IT: DTF 93 I 285</w:t>
      </w:r>
    </w:p>
    <w:p>
      <w:pPr>
        <w:pStyle w:val="Heading2"/>
      </w:pPr>
      <w:r>
        <w:t>Regeste</w:t>
      </w:r>
    </w:p>
    <w:p>
      <w:r>
        <w:t>Regeste Wehrsteuerpflichtiges Einkommen aus Liegenschaftenhandel (Art. 21 Abs. 1 lit. a WStB): 1. Begriff der Gewerbsmässigkeit (Erw. 3a). 2. Wann beabsichtigt ein Steuerpflichtiger ein Spekulationsgeschäft? (Erw. 3b). 3. Ist der Rahmen gewöhnlicher Vermögensverwaltung überschritten: - bei Parzellierung des verkauften Gutes (Erw. 4a)? - bei Beizug von Liegenschaftsvermittlern (Erw. 4b)? - bei Inanspruchnahme bedeutender fremder Gelder (Erw. 4c)?</w:t>
      </w:r>
    </w:p>
    <w:p>
      <w:r>
        <w:t>Regeste Impôt de défense nationale: revenu provenant du commerce des immeubles (art. 21 al. 1 lit. a AIN) 1. Notion du commerce professionnel (consid. 3a). 2. Quand un contribuable a-t-il en vue une opération de spéculation (consid. 3b)? 3. Dépasse-t-on les limites de l'administration ordinaire d'une fortune: - lorsqu'on divise en parcelles le terrain à vendre (consid. 4a)? - lorsqu'on s'assure le concours d'agents immobiliers (consid. 4b)? - lorsqu'on fait appel à des fonds étrangers importants (consid. 4c)?</w:t>
      </w:r>
    </w:p>
    <w:p>
      <w:r>
        <w:t>Regesto Imposta per la difesa nazionale: reddito derivante dal commercio di immobili (art. 21 cpv. 1 lett. a DIN): 1. Nozione di commercio professionale (consid. 3a). 2. Quando un contribuente intende compiere un'operazione speculativa (consid. 3b)? 3. I limiti di una normale amministrazione del patrimonio sono sorpassati: - in caso di parcellamento del terreno da vendere (consid. 4a)? - in caso di ricorso ad agenti immobiliari (consid. 4b)? - in caso di ricorso a somme straniere rilevanti (consid. 4c)?</w:t>
      </w:r>
    </w:p>
    <w:p>
      <w:pPr>
        <w:pStyle w:val="Heading2"/>
      </w:pPr>
      <w:r>
        <w:t>Erwägungen</w:t>
      </w:r>
    </w:p>
    <w:p>
      <w:r>
        <w:rPr>
          <w:b/>
        </w:rPr>
        <w:t>E. 1</w:t>
      </w:r>
    </w:p>
    <w:p>
      <w:r>
        <w:t>Nach den Feststellungen der Vorinstanz hat der Beschwerdeführer seinen Grundbesitz in vier Teilverkäufen in den Jahren 1961 bis 1962 abgestossen. Hinsichtlich des am 7. Januar 1961 abgeschlossenen Verkaufs des Wohnhauses mit 5 000 m2 Umschwung wurde auch von der Veranlagungsbehörde kein unter die Steuerpflicht gemäss Art. 21 Abs. 1 lit. a WStB fallendes Geschäft erblickt. Umstritten ist somit bloss, ob der Erlös des nach dem 7. Januar 1961 verkauften Landes steuerpflichtig sei.</w:t>
      </w:r>
    </w:p>
    <w:p>
      <w:r>
        <w:rPr>
          <w:b/>
        </w:rPr>
        <w:t>E. 2</w:t>
      </w:r>
    </w:p>
    <w:p>
      <w:r>
        <w:t>Gewinne aus dem Verkauf von Liegenschaften unterliegen der Wehrsteuer vom Einkommen nur dann, wenn der Veräusserer gewerbsmässig Handel treibt (Art. 21 Abs. 1 lit. a WStB) oder wenn der Gewinn im Betrieb eines zur Führung kaufmännischer Bücher verpflichteten Unternehmens erzielt worden ist (Art. 21 Abs. 1 lit. d WStB). Unbestritten ist, dass der Beschwerdeführer diese zweite Voraussetzung nicht erfüllt. Hingegen nimmt die Wehrsteuerverwaltung des Kantons Zürich mit der Eidg. Steuerverwaltung an, jener habe die Gewinne beim gewerbsmässigen Handel mit Liegenschaften erzielt. BGE 93 I 285 S. 288</w:t>
      </w:r>
    </w:p>
    <w:p>
      <w:r>
        <w:rPr>
          <w:b/>
        </w:rPr>
        <w:t>E. 3</w:t>
      </w:r>
    </w:p>
    <w:p>
      <w:r>
        <w:t>a) Ein gewerbsmässiger Liegenschaftshandel liegt vor, wenn ein Steuerpflichtiger Grundstückskäufe und -verkäufe nicht bloss im Rahmen der Verwaltung seines Vermögens oder in Ausnützung einer sich zufällig bietenden Gelegenheit vornimmt, sondern planmässig und mit der Absicht, damit einen Verdienst zu erzielen. Die Gewerbsmässigkeit kann sich einerseits aus der Häufung der An- und Verkäufe ergeben, anderseits aber auch bei vereinzelten Umsatzgeschäften aus dem Zusammenhang mit einer andern Erwerbstätigkeit, in deren Schranken sie erfolgt. So betrachtet das Bundesgericht den Kauf und Verkauf einer Liegenschaft durch Baumeister, Gipsermeister, Architekten und ähnliche Berufsleute als gewerbsmässig, wenn diese damit ihrer Unternehmung oder ihrem Bureau Arbeit verschaffen wollen ( BGE 82 I 174 , BGE 92 I 122 Erw. 2 a; ASA 30 S. 374). b) Der Beschwerdeführer gehört nicht zu den Personen, deren Liegenschaftenhandel einem Hauptberuf dient; die Verkäufe standen in keinem Zusammenhang mit seiner Tätigkeit als Unternehmensberater. Auch die Steuerbehörden ziehen dies nicht in Zweifel; sie machen aber geltend, der Beschwerdeführer habe von Anfang an an ein Spekulationsgeschäft gedacht. Für diese Annahme fehlen indessen zwingende Anhaltspunkte. Der Beschwerdeführer hat das Gut "Im Brand" erworben, um dieses zu seinem Alters- und Ruhesitz zu gestalten. Er hat es nach seinem Geschmack ausgebaut und es während fünf Jahren bewohnt. Möglich ist, dass er beim Erwerb des Gutes auch Überlegungen hinsichtlich einer späteren Veräusserung anstellte. Dies wird aber kaum jemand unterlassen, der sein Vermögen in Grund und Boden anlegt. Die Veräusserung des Gutes erfolgte anerkanntermassen unter einem gewissen Zwang. Nachdem die Hoffnungen des Beschwerdeführers, sein Vermögen aus Java in die Schweiz überführen zu können, sich nicht verwirklichten, war die Belastung durch den Unterhalt für ihn zu gross. Er musste daher einen Verkauf anstreben. Er hat dabei sein zu privaten Zwecken gekauftes und nicht mehr tragbares Land bestmöglich veräussert. Dass er dabei einen erheblichen Gewinn erzielen konnte, macht diesen noch nicht zum Einkommen im Sinne von Art. 21 WStB.</w:t>
      </w:r>
    </w:p>
    <w:p>
      <w:r>
        <w:rPr>
          <w:b/>
        </w:rPr>
        <w:t>E. 4</w:t>
      </w:r>
    </w:p>
    <w:p>
      <w:r>
        <w:t>Was die Steuerbehörden dagegen vorbringen, dringt nicht durch: a) Die Veranlagungsbehörde glaubt, dass der Beschwerdeführer BGE 93 I 285 S. 289 schon deshalb den Rahmen gewöhnlicher Vermögensverwaltung überschritten habe, weil er sein Gut parzellieren liess. Unbestrittenermassen versuchte der Beschwerdeführer zunächst, seinen Grundbesitz gesamthaft zu verkaufen. Erst nachdem seine Versuche nicht zum Ziele führten, schritt er zur Parzellierung. Diese stellte aber keine über eine gewöhnliche Liegenschaftenverwaltung hinausgehende Massnahme dar. Es war nicht schwer, das Gut in vier Grundstücke aufzuteilen; jeder Architekt konnte ohne besondere Mühe geeignete Vorschläge unterbreiten. b) Die Veranlagungsbehörde hat besonderes Gewicht auf den Umstand gelegt, dass der Beschwerdeführer Liegenschaftsvermittler zu Hilfe gezogen habe. Dies spreche gegen die blosse Ausnützung zufällig sich bietender Gelegenheiten. Dieser Beizug genügt indessen nicht, um ein gewerbsmässiges Handeln nachzuweisen; denn es brauchte vermutlich nicht mehr als einige Inserate, um damals in der Zeitspanne von etwa 2 Jahren in dieser gesuchten Lage vier Käufer zu finden. Bestimmt setzte es aber keine intensive Tätigkeit voraus. Die Tatsache, dass der Beschwerdeführer Vermittler in Dienst nahm, beweist vielmehr, dass sein persönlicher Einsatz bescheiden war. c) Die Vorinstanz schliesst die Annahme, der Beschwerdeführer habe im Rahmen einer ordentlichen Vermögensverwaltung gehandelt, auch deshalb aus, weil er weder zur Zeit des Kaufes noch später die Mittel für einen derart umfangreichen Grundbesitz besessen habe. Richtig ist, dass sich die Gewerbsmässigkeit aus der Inanspruchnahme bedeutender fremder Gelder ergeben kann ( BGE 92 I 122 Erw. 2 a). Im vorliegenden Fall fehlt es an diesbezüglichen Feststellungen der Vorinstanz. Aber auch wenn der Beschwerdeführer bedeutende fremde Mittel zum Erwerb des Gutes "Im Brand" eingesetzt haben sollte, drängen seine damaligen Verhältnisse nicht zum vorneherein die Annahme eines spekulativen Kaufes auf; die Steuerbehörden bringen denn auch nichts vor, was seine Behauptung, er habe noch 1956 (bei seiner Rückkehr) an die teilweise Rettung seines Besitzes in Java geglaubt, als unzutreffend erscheinen liesse.</w:t>
      </w:r>
    </w:p>
    <w:p>
      <w:r>
        <w:rPr>
          <w:b/>
        </w:rPr>
        <w:t>E. 5</w:t>
      </w:r>
    </w:p>
    <w:p>
      <w:r>
        <w:t>Nach der Einschätzung des Kantonalen Steueramtes sind dem Beschwerdeführer - neben dem unbestrittenen Einkommen von 18 600 Franken - eigene Arbeiten im Betrage von Fr. 3968.-- angerechnet worden. Die Eidg. Steuerverwaltung BGE 93 I 285 S. 290 macht in ihrer Vernehmlassung geltend, diese Aufrechnung sei in der Folge nicht angefochten worden. Dem Entscheid der Wehrsteuer-Rekurskommission ist darüber nichts zu entnehmen. Der Beschwerdeführer beantragt seinerseits, sein wehrsteuerpflichtiges Einkommen für die 12. Periode (1963/64) sei auf Fr. 18 600.-- festzusetzen. Unter diesen Umständen ist die Sache zur weiteren Abklärung und zu neuem Entscheid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