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189</w:t>
      </w:r>
    </w:p>
    <w:p>
      <w:r>
        <w:t>Bundesgericht (BGE), 1967-01-01, DE</w:t>
      </w:r>
    </w:p>
    <w:p>
      <w:r>
        <w:rPr>
          <w:b/>
        </w:rPr>
        <w:t xml:space="preserve">Quelle: </w:t>
      </w:r>
      <w:r>
        <w:t>https://mcp.opencaselaw.ch/entscheid/bge_BGE_93_I_189</w:t>
      </w:r>
    </w:p>
    <w:p>
      <w:r>
        <w:t>FR: ATF 93 I 189</w:t>
      </w:r>
    </w:p>
    <w:p>
      <w:r>
        <w:t>IT: DTF 93 I 189</w:t>
      </w:r>
    </w:p>
    <w:p>
      <w:pPr>
        <w:pStyle w:val="Heading2"/>
      </w:pPr>
      <w:r>
        <w:t>Regeste</w:t>
      </w:r>
    </w:p>
    <w:p>
      <w:r>
        <w:t>Regeste Couponabgabe und Verrechnungssteuer; schweizerisch-deutsches Doppelbesteuerungsabkommen. 1. Das Verständigungsverfahren nach Art. 13 Abs. 1 des Abkommens hindert die Durchführung der in der allgemeinen Gesetzgebung eines Vertragsstaates vorgesehenen Rechtsmittel nicht (Erw. 1). 2. Dividenden, die von einer im schweizerischen Handelsregister eingetragenen Aktiengesellschaft ausgeschüttet werden, unterliegen nach der allgemeinen schweizerischen Gesetzgebung der Couponabgabe und der Verrechnungssteuer (Erw. 2). 3. Das Abkommen steht dieser Besteuerung auch dann nicht entgegen, wenn die Aktiengesellschaft nur in Deutschland eine Betriebsstätte besitzt und von deutschen Unternehmungen beherrscht wird. Begriff der inländischen Dividenden im Sinne des Art. 6 Abs. 2 des Abkommens (Erw. 3, 4).</w:t>
      </w:r>
    </w:p>
    <w:p>
      <w:r>
        <w:t>Regeste Droit de timbre sur les coupons et impôt anticipé; convention germanosuisse en vue d'éviter la double imposition. 1. La procédure amiable prévue à l'art. 13 al. 1 de la Convention n'empêche pas de faire valoir les moyens de recours prévus par la législation générale d'un des Etats contractants (consid. 1). 2. Les dividendes provenant d'une société anonyme inscrite au registre suisse du commerce sont soumis, d'après la législation générale suisse, au droit de timbre sur les coupons et à l'impôt anticipé (consid. 2). 3. La convention ne s'oppose pas à une telle imposition, alors même que la société n'exploite une entreprise qu'en Allemagne et qu'elle est en mains de sociétés allemandes. Notion du "revenu acquis dans le pays même" au sens de l'art. 6 al. 2 de la convention (consid. 3 et 4).</w:t>
      </w:r>
    </w:p>
    <w:p>
      <w:r>
        <w:t>Regesto Tassa di bollo sulle cedole e imposta preventiva; convenzione germanosvizzera per evitare la doppia imposizione. 1. La procedura bonale ai sensi dell'art. 13 cpv. 1 della convenzione non impedisce l'uso dei rimedi giuridici previsti nella legislazione generale di uno Stato contraente (consid. 1). 2. Dividendi versati da una società anonima iscritta nel registro svizzero di commercio soggiacciono, secondo la legislazione generale svizzera, alla tassa di bollo sulle cedole e all'imposta preventiva (consid. 2). 3. La convenzione non fa ostacolo ad una simile imposizione anche se la società anonima conduce un'azienda soltanto in Germania ed è dominata da imprese tedesche. Nozione di reddito conseguito nel paese ai sensi dell'art. 6 cpv. 2 della convenzione (consid. 3 e 4).</w:t>
      </w:r>
    </w:p>
    <w:p>
      <w:pPr>
        <w:pStyle w:val="Heading2"/>
      </w:pPr>
      <w:r>
        <w:t>Erwägungen</w:t>
      </w:r>
    </w:p>
    <w:p>
      <w:r>
        <w:rPr>
          <w:b/>
        </w:rPr>
        <w:t>E. 1</w:t>
      </w:r>
    </w:p>
    <w:p>
      <w:r>
        <w:t>Nach Art. 13 Abs. 1 des schweizerisch-deutschen Doppelbesteuerungsabkommens kann ein Steuerpflichtiger, der das Opfer einer Doppelbesteuerung zu sein glaubt, sich an die zuständige oberste Verwaltungsbehörde des Staates wenden, in dem er seinen Wohnsitz hat. Erachtet diese Behörde seine Einwendungen für begründet, so soll sie versuchen, sich mit der zuständigen obersten Verwaltungsbehörde des anderen Staates zu verständigen, um in billiger Weise eine Doppelbesteuerung zu vermeiden. Im vorliegenden Fall haben nach den Angaben der Eidg. Steuerverwaltung, die von der Beschwerdeführerin nicht widerlegt worden sind, die zuständigen Behörden der beiden Vertragsstaaten bisher keinerlei Schritte zum Zwecke einer Verständigung unternommen. Daher besteht kein Anlass, im Hinblick auf ein Verständigungsverfahren, das vielleicht nie stattfinden wird, die Beurteilung der Verwaltungsgerichtsbeschwerde auszusetzen. Übrigens wird nach Art. 13 Abs. 1 des Abkommens und dem Schlussprotokoll dazu der Steuerpflichtige durch die Einleitung eines Verständigungsverfahrens an der Geltendmachung eines innerstaatlichen Rechtsmittels nicht gehindert. Die beiden Verfahren sind voneinander unabhängig. Das Bundesgericht wäre also selbst dann, wenn ein Verständigungsverfahren eingeleitet worden wäre, nicht verpflichtet, sein Urteil aufzuschieben (vgl. BGE 82 I 4 ).</w:t>
      </w:r>
    </w:p>
    <w:p>
      <w:r>
        <w:rPr>
          <w:b/>
        </w:rPr>
        <w:t>E. 2</w:t>
      </w:r>
    </w:p>
    <w:p>
      <w:r>
        <w:t>Nach Art. 3 Abs. 1 lit. c CG und Art. 4 Abs. 1 lit. a VStB sind Gegenstand der Couponabgabe und der Verrechnungssteuer u.a. die Dividenden für Aktien, die von einem Inländer ausgegeben worden sind. Als Inländer gilt, wer im Inland seinen Wohnsitz hat; bei Geschäftsfirmen tritt an Stelle des Wohnsitzes im Inland die Eintragung im inländischen Handelsregister (Art. 2 Abs. 1 CG in Verbindung mit Art. 10 Abs. 2 StG ; Art. 4 Abs. 5 VStB). Da die Beschwerdeführerin im Handelsregister von Luzern eingetragen ist, sind ihre Aktien demnach von einem Inländer ausgegeben. Die von BGE 93 I 189 S. 193 ihr ausgeschütteten Dividenden unterliegen somit nach dem innerstaatlichen Rechte der Couponabgabe und der Verrechnungssteuer.</w:t>
      </w:r>
    </w:p>
    <w:p>
      <w:r>
        <w:rPr>
          <w:b/>
        </w:rPr>
        <w:t>E. 3</w:t>
      </w:r>
    </w:p>
    <w:p>
      <w:r>
        <w:t>Es bleibt zu prüfen, ob diese Lösung mit dem schweizerisch-deutschen Doppelbesteuerungsabkommen vereinbar ist. Art. 6 des Abkommens bestimmt in Abs. 1, dass das bewegliche Kapitalvermögen und die Einkünfte daraus nur in dem Staate besteuert werden, in dem der Gläubiger seinen Wohnsitz hat. Diese Regel wird jedoch durch Abs. 2 eingeschränkt, welcher lautet: "Soweit in einem der beiden Staaten die Steuern von inländischen Dividenden und Zinsen im Abzugsweg (an der Quelle) erhoben werden, wird das Recht zur Vornahme des Steuerabzugs durch die Bestimmung des Absatzes 1 nicht berührt." Das Abkommen umschreibt den Begriff der "inländischen Dividenden" nicht näher. Es geht davon aus, dass die Steuerhoheit eines Gemeinwesens auf dessen Gebietshoheit beruht, d.h. auf der Herrschaft über die seinem Gebiet zugehörigen Individuen und Sachgüter. Demnach kann ein Vertragsstaat mit der Quellensteuer nur solche Dividenden belegen, die seiner Gebietshoheit unterworfen sind. Die Dividenden werden von der Aktiengesellschaft, auf deren Aktien sie auszuschütten sind, festgesetzt und geschuldet. Wenn die Gesellschaft die Dividenden, deren Ausschüttung sie beschlossen hat, nicht bezahlt, ist sie dort zu belangen, wo sie domiziliert ist. Die Dividenden werden demnach von der Gebietshoheit des Staates erfasst, in dem sich das Domizil der Gesellschaft befindet. Dieses Domizil liegt gemäss Art. 8 Abs. 4 des Abkommens dort, wo die Gesellschaft ihren Sitz hat. Nach dem Abkommen steht also das Recht, die Dividenden an der Quelle zu besteuern, dem Staate des Gesellschaftssitzes zu. Die Quelle der Dividenden befindet sich in diesem Staate. Das ist hier die Schweiz, da die Beschwerdeführerin ihren Sitz in Luzern hat.</w:t>
      </w:r>
    </w:p>
    <w:p>
      <w:r>
        <w:rPr>
          <w:b/>
        </w:rPr>
        <w:t>E. 4</w:t>
      </w:r>
    </w:p>
    <w:p>
      <w:r>
        <w:t>Die Einwendungen der Beschwerdeführerin sind unbegründet. Zu Unrecht beruft sich die Beschwerdeführerin auf Art. 3 des Abkommens, wonach Betriebe von Handel, Industrie und Gewerbe sowie Einkünfte daraus nur in dem Staate besteuert werden, in dessen Gebiet das Unternehmen seine Betriebsstätte hat. Diese Bestimmung betrifft ausschliesslich die Steuern für Vermögen und Gewinne eines Unternehmens; sie ist auf den BGE 93 I 189 S. 194 vorliegenden Fall der Besteuerung einer Aktiengesellschaft für Leistungen, die sie den Aktionären erbracht hat, nicht anwendbar. Ebensowenig hilft der Beschwerdeführerin der Einwand, dass die Gewinne, die sie in Form von Dividenden verteilt hat, nicht in der Schweiz, sondern in Deutschland erzielt worden seien. Gegenstand der umstrittenen Steuern sind nicht die Gewinne, sondern daraus erbrachte Leistungen (Dividenden), die von der Gebietshoheit der Schweiz erfasst werden. Wenn die deutschen Aktionäre der Beschwerdeführerin auf die Steuern, die sie in Deutschland zu entrichten haben, die in der Schweiz auf den Dividenden erhobenen Quellensteuern nicht anrechnen lassen können, so ist auch das unerheblich. Mangels einer gegenteiligen Bestimmung des schweizerischdeutschen Abkommens ist die schweizerische Behörde nicht verpflichtet, auf die innerdeutsche Ordnung Rücksicht zu nehmen. Wenn die Beteiligten den Sitz einer Gesellschaft, deren Tätigkeit sich hauptsächlich in Deutschland abwickelt, in der Schweiz haben belassen wollen, haben sie die daraus sich ergebenden Folgen auf sich zu nehmen (vgl. Urteil vom 17. Februar 1956, ASA Bd. 24 S. 502).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