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90</w:t>
      </w:r>
    </w:p>
    <w:p>
      <w:r>
        <w:t>Bundesgericht (BGE), 1967-01-01, DE</w:t>
      </w:r>
    </w:p>
    <w:p>
      <w:r>
        <w:rPr>
          <w:b/>
        </w:rPr>
        <w:t xml:space="preserve">Quelle: </w:t>
      </w:r>
      <w:r>
        <w:t>https://mcp.opencaselaw.ch/entscheid/bge_BGE_93_IV_90</w:t>
      </w:r>
    </w:p>
    <w:p>
      <w:r>
        <w:t>FR: ATF 93 IV 90</w:t>
      </w:r>
    </w:p>
    <w:p>
      <w:r>
        <w:t>IT: DTF 93 IV 90</w:t>
      </w:r>
    </w:p>
    <w:p>
      <w:pPr>
        <w:pStyle w:val="Heading2"/>
      </w:pPr>
      <w:r>
        <w:t>Regeste</w:t>
      </w:r>
    </w:p>
    <w:p>
      <w:r>
        <w:t>Regeste Art. 163, Art. 323 Ziff. 4 StGB. Der Gemeinschuldner, der zum Nachteil der Konkursgläubiger Vermögensstücke verheimlicht, kann nur dann wegen blossen Ungehorsams nach Art. 323 Ziff. 4 StGB bestraft werden, wenn der Vorsatz zur Benachteiligung der Gläubiger fehlt.</w:t>
      </w:r>
    </w:p>
    <w:p>
      <w:r>
        <w:t>Regeste Art. 163, art. 323 ch. 4 CP. Le failli qui dissimule certains biens au détriment de ses créanciers ne peut être puni pour simple inobservation de règles de procédure, au sens de l'art. 323 ch. 4, que s'il a agi sans l'intention de nuire aux créanciers.</w:t>
      </w:r>
    </w:p>
    <w:p>
      <w:r>
        <w:t>Regesto Art. 163, art. 323 num. 4 CP. Il fallito che occulta beni a detrimento dei suoi creditori può essere punito per semplice inosservanza di norme di procedura giusta l'art. 323 num. 4 CP soltanto se ha agito senza l'intenzione di danneggiare i creditori.</w:t>
      </w:r>
    </w:p>
    <w:p>
      <w:pPr>
        <w:pStyle w:val="Heading2"/>
      </w:pPr>
      <w:r>
        <w:t>Erwägungen</w:t>
      </w:r>
    </w:p>
    <w:p>
      <w:r>
        <w:rPr>
          <w:b/>
        </w:rPr>
        <w:t>E. 1</w:t>
      </w:r>
    </w:p>
    <w:p>
      <w:r>
        <w:t>Der Beschwerdeführer macht geltend, er habe schon vor der Konkurseröffnung in Wil logiert und bereits damals die Vermögensgegenstände dort verwahrt. Er sei also nicht tätig geworden und habe nichts beiseitegeschafft, so dass auf ihn nicht Art. 163 Ziff. 1, sondern höchstens Art. 323 Ziff. 4 StGB wegen Ungehorsams im Konkursverfahren anwendbar sei. Dass sich der Beschwerdeführer nach der Konkurseröffnung untätig verhalten hat, schliesst die Anwendung von Art. 163 StGB nicht aus. Diese Bestimmung erfasst übrigens auch die Vermögensverminderung, die schon vor der Eröffnung des Konkurses im Hinblick auf die zu erwartende Zwangsverwertung vorgenommen wird. Selbst wenn aber der Beschwerdeführer ursprünglich den neuen Aufenthaltsort zum Schutze BGE 93 IV 90 S. 92 seiner Geliebten geheimgehalten und die Vermögenswerte aus Furcht, sie könnten im Scheidungsprozess beschlagnahmt werden, beiseitegeschafft und versteckt haben sollte, so hat er sie jedenfalls nach der Konkurseröffnung im Sinne des Art. 163 Ziff. 1 StGB verheimlicht. Dazu ist nicht eine positive Handlung, z.B. das Fortschaffen oder Verstecken eines Gegenstandes, erforderlich; es genügt, dass der Vermögenswert durch Unterlassung der vorgeschriebenen Anmeldung dem Konkursamt verschwiegen wird ( BGE 88 IV 26 lit. b mit Bezug auf den analogen Tatbestand des Art. 164 StGB ). Daran ändert nichts, dass die Verheimlichung von Vermögenswerten zugleich Tatbestandsmerkmal des Art. 323 Ziff. 4 StGB ist, wonach der Gemeinschuldner mit Haft oder Busse bestraft wird, wenn er dem Konkursamt nicht alle seine Vermögensstücke angibt und zur Verfügung stellt, obwohl es ihn auf diese Pflicht aufmerksam gemacht hat. Der Unterschied zwischen dieser Bestimmung und Art. 163 StGB besteht nicht in der Art der Verheimlichung, sondern darin, dass beim Tatbestand des betrügerischen Konkurses die Verheimlichung zu einer Benachteiligung der Gläubiger führen und der Vorsatz des Täters auch darauf gerichtet sein muss. Eine Bestrafung des Beschwerdeführers wegen blossen Ungehorsams nach Art. 323 Ziff. 4 StGB käme nur dann in Frage, wenn er ohne diesen Vorsatz gehandelt hätte (nicht veröffentlichtes Urteil des Kassationshofes vom 5. Dezember 1958 i.S. Gautschi).</w:t>
      </w:r>
    </w:p>
    <w:p>
      <w:r>
        <w:rPr>
          <w:b/>
        </w:rPr>
        <w:t>E. 2</w:t>
      </w:r>
    </w:p>
    <w:p>
      <w:r>
        <w:t>Die vom Beschwerdeführer verheimlichten Vermögensstücke waren mindestens zwei Monate lang dem Zugriff des Betreibungs- und Konkursamtes entzogen und wären es weiterhin geblieben, wenn der Beschwerdeführer nicht hätte verhaftet werden können. Die Gläubigerrechte waren somit gefährdet, und die Zwangsvollstreckung wurde erschwert. Darin liegt eine Benachteiligung der Gläubiger, wenn auch nur eine vorübergehende, was genügt ( BGE 85 IV 219 unten, BGE 93 IV 17 f.). Nach den tatsächlichen und darum verbindlichen Feststellungen des Obergerichts wusste der Beschwerdeführer, dass er durch sein Verhalten die Konkursgläubiger benachteiligen oder schädigen konnte, und er hat diesen Erfolg auch in seinen Willensentschluss einbezogen oder war mit ihm zum mindesten für den Fall, dass er eintreten sollte, einverstanden. Die Einwendungen, mit denen der festgestellte Vorsatz in der Beschwerde BGE 93 IV 90 S. 93 bestritten wird, richten sich ausschliesslich gegen die Beweiswürdigung der Vorinstanz und sind daher unbeachtlich. Selbst wenn übrigens der Beschwerdeführer, wie er behauptet, nur beabsichtigt hätte, die Beschlagnahme der Vermögenswerte durch den Scheidungsrichter zu verhindern, so ergäbe sich daraus nicht zwingend, dass er die Benachteiligung der Konkursgläubiger als notwendige Nebenwirkung seiner Absicht nicht mitgewollt hätte. Ebensowenig wird die vorsätzliche Benachteiligung der Gläubiger dadurch ausgeschlossen, dass der Beschwerdeführer von der Möglichkeit, mit den Vermögenswerten ins Ausland zu verschwinden, keinen Gebrauch gemacht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