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492</w:t>
      </w:r>
    </w:p>
    <w:p>
      <w:r>
        <w:t>Bundesgericht (BGE), 1967-01-01, IT</w:t>
      </w:r>
    </w:p>
    <w:p>
      <w:r>
        <w:rPr>
          <w:b/>
        </w:rPr>
        <w:t xml:space="preserve">Quelle: </w:t>
      </w:r>
      <w:r>
        <w:t>https://mcp.opencaselaw.ch/entscheid/bge_BGE_93_II_492</w:t>
      </w:r>
    </w:p>
    <w:p>
      <w:r>
        <w:t>FR: ATF 93 II 492</w:t>
      </w:r>
    </w:p>
    <w:p>
      <w:r>
        <w:t>IT: DTF 93 II 492</w:t>
      </w:r>
    </w:p>
    <w:p>
      <w:pPr>
        <w:pStyle w:val="Heading2"/>
      </w:pPr>
      <w:r>
        <w:t>Regeste</w:t>
      </w:r>
    </w:p>
    <w:p>
      <w:r>
        <w:t>Regeste Art. 34 Abs. 3, 35 Abs. 2 SVG. Wer nach links ausbiegt, um zum Überholen anzusetzen, während ein nachfolgendes Fahrzeug sich zum gleichen Zwecke bereits auf der linken Fahrbahnhälfte befindet, kann als für den Zusammenstoss allein verantwortlich angesehen werden. Rechtswirksamkeit eines Geschwindigkeitsbeschränkungs-Signals, das infolge Versehens der Polizeibehörde unnötigerweise aufrechterhalten worden ist? (offen gelassen).</w:t>
      </w:r>
    </w:p>
    <w:p>
      <w:r>
        <w:t>Regeste Art. 34 al. 3 et 35 al. 2 LCR. Celui qui oblique à gauche en vue de dépasser, alors qu'un véhicule qui le suit occupe déjà, dans le même but, le côté gauche de la chaussée, peut être tenu pour seul responsable de la collision. Portée juridique d'un signal limitant la vitesse, maintenu inutilement par suite d'un oubli de l'autorité de police? (question non résolue).</w:t>
      </w:r>
    </w:p>
    <w:p>
      <w:r>
        <w:t>Regesto Art. 34 cpv. 3 e 35 cpv. 2 LCStr. Chi si sposta a sinistra per iniziare un sorpasso quando un veicolo seguente occupa già a tale scopo la carreggiata di sinistra può essere tenuto esclusivamente responsabile della collisione. Effetti giuridici di un segnale di limitazione di velocità che sia stato mantenuto oltre necessità per dimenticanza dell'autorità di polizia? (questione lasciata indecisa).</w:t>
      </w:r>
    </w:p>
    <w:p>
      <w:pPr>
        <w:pStyle w:val="Heading2"/>
      </w:pPr>
      <w:r>
        <w:t>Erwägungen</w:t>
      </w:r>
    </w:p>
    <w:p>
      <w:r>
        <w:rPr>
          <w:b/>
        </w:rPr>
        <w:t>E. 1</w:t>
      </w:r>
    </w:p>
    <w:p>
      <w:r>
        <w:t>La Corte cantonale ha chiaramente accertato che Vanzetta si spostò sul lato sinistro della strada per superare il VW di Dozio, quando Ponti, che aveva proseguito la manovra di sorpasso delle due autovetture, già stava fiancheggiandolo. Essa ha poi precisato che Vanzetta avrebbe potuto rendersi tempestivamente conto della manovra dell'Alfa Romeo se - come ha fatto Dozio - udito il segnale acustico, avesse dato un'occhiata al retrovisore. Questi accertamenti devono essere posti a fondamento anche del giudizio di questa sede (art. 63 cpv. 2 OG). Le contrarie o diverse affermazioni del ricorrente violano il divieto di criticare gli accertamenti cantonali (art. 55 cpv. 1 lett. c OG). Il suesposto comportamento di Vanzetta trasgredisce in modo evidente le norme fissate dalla LCStr., segnatamente gli BGE 93 II 492 S. 496 art. 34 cpv. 3, il quale prescrive a chi vuol cambiare direzione per effettuare il sorpasso di badare anche ai veicoli che seguono, e 35 cpv. 2, secondo cui il conducente deve lasciar libera la carreggiata, in modo da permettere il sorpasso ai veicoli che circolano più rapidamente, e non aumentare la velocità se viene sorpassato. Vanzetta, ammettendo di non aver rilevato la presenza della autovettura di Ponti già spostata sulla sinistra con esposto il segnale di direzione e di non aver udito il segnale acustico dato dal medesimo, mentre tali circostanze erano state tempestivamente accertate dal conducente che lo precedeva, ha dato egli stesso la dimostrazione della sua negligenza. La Corte cantonale, alla quale incombe di accertare, in modo vincolante (RU 91 II 209 consid. 4), se esiste rapporto di causalità fra la manovra colposa e l'evento dannoso, ha risolto tale questione in senso affermativo. Anche la risposta all'altra questione, che deve essere esaminata in questa sede (RU 91 II 210), di stabilire se tale rapporto è adeguato, non può essere dubbia. È infatti evidente che una manovra di sorpasso, intrapresa dopo che un veicolo seguente occupa già a tale scopo la parte sinistra della strada, può causare, secondo l'ordine normale delle cose, una collisione della natura di quella verificatasi in concreto. In tal senso, Vanzetta è quindi responsabile dei guasti subiti dall'autovettura di Ponti.</w:t>
      </w:r>
    </w:p>
    <w:p>
      <w:r>
        <w:rPr>
          <w:b/>
        </w:rPr>
        <w:t>E. 2</w:t>
      </w:r>
    </w:p>
    <w:p>
      <w:r>
        <w:t>Vanzetta potrebbe nondimeno essere liberato dalla sua responsabilità, se dagli accertamenti della Corte cantonale risultasse che la manovra di sorpasso effettuata da Ponti fosse stata pure colposa e fosse stata in un rapporto di causalità con la collisione, tale da interrompere quello dipendente dalla manovra di Vanzetta. Nella sentenza impugnata è stabilito che le circostanze di luogo, di tempo e di circolazione consentivano a Ponti la manovra di sorpasso: la strada era rettilinea per alcune centinaia di metri e il campo stradale era libero, le condizioni di visibilità erano buone, lo spazio richiesto era sufficiente e nessun veicolo in senso inverso era in vista. È pure accertato che Ponti iniziò la sua manovra quando le due altre vetture di Vanzetta e Dozio procedevano sulla destra a bassa velocità (50 km/h). Eseguendo la sua manovra, non può pertanto aver violato gli art. 34 cpv, 3 e 35 cpv. 2 e 3 LCStr. Egli non poteva BGE 93 II 492 S. 497 immaginare che, pur avendo preavvisato la sua intenzione con il segnale acustico, raggiunta la vettura di Vanzetta, questi avrebbe tentato, da parte sua, di effettuare il sorpasso del veicolo precedente. A proposito dei doveri stabiliti nelle citate norme, Ponti non si è quindi reso colpevole di alcuna negligenza, per cui non gli incombe, al riguardo, alcuna responsabilità. D'altronde, l'affermazione della riccorrente, nel senso che l'unica causa della collisione sarebbe costituita dalla asserita velocità di almeno 80 km/h tenuta da Ponti, è irricevibile perchè in contrasto con gli accertamenti cantonali. Vero è che, come accertato anche dalla Corte cantonale, quantunque il traffico in quella domenica non fosse ostacolato in alcun modo dai lavori stradali in corso, il cartello prescrivente la velocità massima di 60 km/h era rimasto al suo posto, circa 400 m prima del luogo della collisione, e non era stato coperto. Non è però necessario di determinare il valore giuridico di tale segnalazione e quindi la portata della eventuale trasgressione di Ponti, perchè la Corte cantonale, considerando che Vanzetta era uscito dalla carreggiata di destra, spostandosi a sinistra quando l'Alfa Romeo già lo fiancheggiava nella manovra di superamento, ha dichiarato che la velocità tenuta da Ponti "non fu affatto causale per l'incidente" e ne ha conseguito che il relativo accertamento era superfluo. Essa ha pertanto negato già qualsiasi rapporto di causalità naturale fra l'incidente e la velocità tenuta da Ponti. Tale accertamento non può essere impugnato in sede di ricorso per riforma.</w:t>
      </w:r>
    </w:p>
    <w:p>
      <w:r>
        <w:rPr>
          <w:b/>
        </w:rPr>
        <w:t>E. 3</w:t>
      </w:r>
    </w:p>
    <w:p>
      <w:r>
        <w:t>Secondo l'art. 44 cpv. 1 CO, applicabile al caso particolare in virtù dell'art. 59 cpv. 4 lett. a LCStr., la parte convenuta può far valere che il suo obbligo di risarcimento sia ridotto o negato per motivo di altre circostanze, per le quali è responsabile l'attore e che avessero contribuito a cagionare o aggravare il danno. In tal senso, la ricorrente ha affermato che la velocità dell'Alfa Romeo è in diretto rapporto con l'ammontare del danno e che Ponti non ha frenato. Ma la prima di queste contestazioni è irricevibile per difetto di causalità, come suesposto, e la seconda è infondata. Infatti chi, come nel caso particolare, si trova in fase di sorpasso, all'altezza del veicolo che intende sorpassare, non può prevedere che l'altro utente della strada gli impedisca improvvisamente il passaggio. D'altronde, in tale situazione, una BGE 93 II 492 S. 498 frenata improvvisa, nel momento in cui l'altro veicolo sta accostandosi, può provocare sbandamenti ed aggravare la collisione. Il rimprovero rivolto a Ponti di non aver frenato è pertanto destituito di fondamento.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