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19</w:t>
      </w:r>
    </w:p>
    <w:p>
      <w:r>
        <w:t>Bundesgericht (BGE), 1967-01-01, FR</w:t>
      </w:r>
    </w:p>
    <w:p>
      <w:r>
        <w:rPr>
          <w:b/>
        </w:rPr>
        <w:t xml:space="preserve">Quelle: </w:t>
      </w:r>
      <w:r>
        <w:t>https://mcp.opencaselaw.ch/entscheid/bge_BGE_93_II_19</w:t>
      </w:r>
    </w:p>
    <w:p>
      <w:r>
        <w:t>FR: ATF 93 II 19</w:t>
      </w:r>
    </w:p>
    <w:p>
      <w:r>
        <w:t>IT: DTF 93 II 19</w:t>
      </w:r>
    </w:p>
    <w:p>
      <w:pPr>
        <w:pStyle w:val="Heading2"/>
      </w:pPr>
      <w:r>
        <w:t>Regeste</w:t>
      </w:r>
    </w:p>
    <w:p>
      <w:r>
        <w:t>Regeste Art. 398 OR. Keine Haftung des Tierarztes, wenn der durch sein Vorgehen verursachte Schaden weder auf Unkenntnis, noch auf Nachlässigkeit oder Ungeschicklichkeit zurückzuführen ist, sondern auf eine Ursache, die nach dem gegenwärtigen Stand der Wissenschaft selbst bei aufmerksamer und gewissenhafter Prüfung nicht erkennbar war.</w:t>
      </w:r>
    </w:p>
    <w:p>
      <w:r>
        <w:t>Regeste Art. 398 CO. La responsabilité professionnelle du vétérinaire n'est pas engagée lorsque le dommage causé par l'intervention du praticien n'est pas dû à son ignorance, à sa négligence ou à sa maladresse, mais à une cause qui, dans l'état actuel de la science, n'était pas discernable, même à un examen attentif et consciencieux.</w:t>
      </w:r>
    </w:p>
    <w:p>
      <w:r>
        <w:t>Regesto Art. 398 CO. Il veterinario non è responsabile, quando il danno causato dal suointervento non è dovuto ad ignoranza, negligenza o inettitudine, ma ad una causa che, allo stato attuale della scienza, non era discernibile nemmeno con un esame attento e coscienzioso.</w:t>
      </w:r>
    </w:p>
    <w:p>
      <w:pPr>
        <w:pStyle w:val="Heading2"/>
      </w:pPr>
      <w:r>
        <w:t>Erwägungen</w:t>
      </w:r>
    </w:p>
    <w:p>
      <w:r>
        <w:rPr>
          <w:b/>
        </w:rPr>
        <w:t>E. 1</w:t>
      </w:r>
    </w:p>
    <w:p>
      <w:r>
        <w:t>L'intimé était tenu envers le recourant de la bonne et fidèle exécution du mandat qu'il avait assumé. D'une manière générale, sa responsabilité était soumise aux mêmes règles que BGE 93 II 19 S. 21 celle de l'employé (art. 398 al. 1 et 2 CO). Pour mesurer la diligence qui lui incombait, il y a donc lieu de considérer les connaissances qui lui étaient nécessaires pour rendre le service qu'il avait promis (art. 328 al. 4 CO), soit pour poser le diagnostic et déterminer les moyens thérapeutiques appropriés. La responsabilité du vétérinaire s'apparente sans doute à celle du médecin, que la jurisprudence a précisée (RO 53 II 300 et 424, 57 II 202, 62 II 274, 64 II 205 consid. 4, 66 II 35, 67 II 23, 70 II 208, 92 II 19). Il n'est pas certain cependant que l'analogie soit exacte en tous points, le vétérinaire soignant une chose, non une personne humaine (cf. SCHMID, Die Haftpflicht des Tierarztes, thèse Zurich 1923, p. 13 sv., notamment p. 14; HEUSSER, Die Haftung des Tierarztes nach schweizerischem Recht, dans Schweizerisches Archiv für Tierheilkunde, 1933, p. 399 sv., spécialement p. 405). Quoi qu'il en soit, la responsabilité professionnelle du vétérinaire, comme celle du médecin, n'est pas engagée lorsque le dommage causé par l'intervention du praticien n'est pas dû à son ignorance, à sa négligence ou à sa maladresse, mais à une cause qui, dans l'état de la science au moment où il s'est réalisé, n'était pas discernable, même à un examen attentif et sérieux (RO 66 II 34 sv.).</w:t>
      </w:r>
    </w:p>
    <w:p>
      <w:r>
        <w:rPr>
          <w:b/>
        </w:rPr>
        <w:t>E. 2</w:t>
      </w:r>
    </w:p>
    <w:p>
      <w:r>
        <w:t>Le diagnostic de l'intimé était exact, mais le traitement appliqué entraîna la perte des sujets soignés en raison d'une absorption excessive de vitamine D3. On ignorait à l'époque que des deux vitamines D communément utilisées, l'espèce D3 est toxique à hautes doses. C'est précisément le dommage subi par le recourant qui révéla à la fois cet effet nocif propre à l'espèce et la différence qui existe de ce point de vue entre les vitamines D2 et D3 lorsqu'elles sont administrées aux porcs. Supposé dès lors que l'intimé, contrairement à ce qu'il prétend, n'ait pas prescrit la première, mais simplement la vitamine D, sans donner au fabricant de plus amples précisions, on ne saurait lui reprocher de n'avoir point évité la confusion, car il lui était impossible de connaître le risque et la différence que le traitement ordonné allait permettre de découvrir. Il eût incombé au recourant d'établir que du moins la science vétérinaire s'était posé la question, qu'un doute et une incertitude existaient. S'il y était parvenu, on eût compris qu'il songeât à reprocher à l'intimé de n'avoir pas pris la précaution ou de préciser son ordonnance, ou de réduire la dose. Sans doute le recourant se borne-t-il aujourd'hui à soutenir BGE 93 II 19 S. 22 que la quantité prescrite était de toute façon excessive, même pour un traitement de choc. Mais il se heurte aux constatations définitives de la Cour cantonale, opérées au terme d'une appréciation motivée des preuves, notamment des témoignages et avis de divers praticiens. En effet, avant la découverte de la toxicité particulière à la vitamine D3, on pouvait légitimement utiliser les deux espèces en quantités égales. Or, selon l'arrêt déféré, la dose prescrite était normale si l'ordonnance de l'intimé visait la vitamine D2, dont l'absorption ne fait pas courir le risque qui s'est réalisé.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