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55</w:t>
      </w:r>
    </w:p>
    <w:p>
      <w:r>
        <w:t>Bundesgericht (BGE), 1959-09-15, FR</w:t>
      </w:r>
    </w:p>
    <w:p>
      <w:r>
        <w:rPr>
          <w:b/>
        </w:rPr>
        <w:t xml:space="preserve">Quelle: </w:t>
      </w:r>
      <w:r>
        <w:t>https://mcp.opencaselaw.ch/entscheid/bge_BGE_93_III_55</w:t>
      </w:r>
    </w:p>
    <w:p>
      <w:r>
        <w:t>FR: ATF 93 III 55</w:t>
      </w:r>
    </w:p>
    <w:p>
      <w:r>
        <w:t>IT: DTF 93 III 55</w:t>
      </w:r>
    </w:p>
    <w:p>
      <w:pPr>
        <w:pStyle w:val="Heading2"/>
      </w:pPr>
      <w:r>
        <w:t>Regeste</w:t>
      </w:r>
    </w:p>
    <w:p>
      <w:r>
        <w:t>Regeste Ausschluss von Betreibungen gegen den Gemeinschuldner, Nichtigkeit eines Verlustscheins. Art. 206 SchKG. Gemäss der zwingenden Vorschrift von Art. 206 SchKG ist ein Pfändungsverlustschein, der nach Eröffnung des Konkurses über den Schuldner ausgestellt wurde, schlechthin nichtig (Erw. 1-3). Hiefür ist es bedeutungslos, dass die Eröffnung des Konkurses entgegen dem Gesetz nicht öffentlich bekannt gemacht wurde (Erw. 2) und dass der Konkurs später widerrufen wurde (Erw. 4).</w:t>
      </w:r>
    </w:p>
    <w:p>
      <w:r>
        <w:t>Regeste Exclusion des poursuites contre le failli. Nullité d'un acte de défaut de biens. Art. 206 LP. En vertu de la disposition impérative de l'art. 206 LP, l'acte de défaut de biens après saisie délivré postérieurement à la déclaration de faillite du débiteur est radicalement nul (consid. 1 à 3). Peu importe que l'ouverture de la faillite n'ait pas été publiée, contrairement à la loi (consid. 2), et que la faillite ait été révoquée ultérieurement (consid. 4).</w:t>
      </w:r>
    </w:p>
    <w:p>
      <w:r>
        <w:t>Regesto Esclusione delle esecuzioni contro il fallito. Nullità d'un attestato di carenza di beni. Art. 206 LEF. Giusta la disposizione imperativa dell'art. 206 LEF, l'attestato di carenza di beni susseguente a pignoramento, rilasciato dopo la dichiarazione di fallimento del debitore, è radicalmente nullo (consid. 1 a 3). Non importa se l'apertura del fallimento non è stata pubblicata, contrariamente alla legge (consid. 2) e se il fallimento è stato in seguito revocato (consid. 4).</w:t>
      </w:r>
    </w:p>
    <w:p>
      <w:pPr>
        <w:pStyle w:val="Heading2"/>
      </w:pPr>
      <w:r>
        <w:t>Erwägungen</w:t>
      </w:r>
    </w:p>
    <w:p>
      <w:r>
        <w:rPr>
          <w:b/>
        </w:rPr>
        <w:t>E. 1</w:t>
      </w:r>
    </w:p>
    <w:p>
      <w:r>
        <w:t>Selon l'art. 206 LP, la faillite a pour effet que les poursuites dirigées contre le débiteur cessent de plein droit; aucune poursuite nouvelle ne peut être engagée durant la liquidation. Il est vrai que le principe posé par la loi souffre des exceptions (cf. FAVRE, Droit des poursuites, 2e éd., p. 298 s.; FRITZSCHE, Schuldbetreibung, Konkurs und Sanierung, vol. II, p. 44 s.; JAEGER/DÄNIKER, n. 2 ss. ad art. 206 LP) Ainsi, des poursuites peuvent être exercées lorsqu'elles tendent à la réalisation d'un gage appartenant à un tiers, même si le failli y est partie comme débiteur personnel (art. 61 OOF, 89 ORI), ou d'un bien sur lequel le débiteur est titulaire d'un droit de copropriété ou de propriété commune (RO 49 III 249, 51 III 55, 64 III 50 ss.). De même, le débiteur peut être poursuivi en exécution de créances nées postérieurement à la déclaration de faillite (RO 72 III 83 ss., 79 III 128 ss.). Les poursuites que Paul Despont a intentées à Maurice Paratte ne tendent pas à la réalisation d'un gage appartenant à un tiers, ni d'un bien qui serait la copropriété ou la propriété BGE 93 III 55 S. 58 commune du débiteur poursuivi et d'autres personnes. La créance à recouvrer est née sans conteste avant l'ouverture de la faillite, que l'on se réfère, comme l'a fait la Cour d'appel bernoise, à la date du jugement du Président du Tribunal du district de Porrentruy, soit au 23 mars 1955, ou, conformément à la jurisprudence (RO 85 III 157 s. consid. 6), à l'arrêt rendu sur recours, après que l'effet suspensif eut été ordonné, le 18 avril 1955. En effet, Paul Despont a introduit sa première poursuite en 1952 en invoquant un contrat de mandat conclu en 1948. Dès lors, aucune des exceptions à la règle de l'art. 206 LP n'est réalisée en l'espèce.</w:t>
      </w:r>
    </w:p>
    <w:p>
      <w:r>
        <w:rPr>
          <w:b/>
        </w:rPr>
        <w:t>E. 2</w:t>
      </w:r>
    </w:p>
    <w:p>
      <w:r>
        <w:t>C'est la déclaration de la faillite et non sa publication qui détermine le moment à partir duquel les poursuites en cours tombent et l'introduction de nouvelles poursuites est exclue. Peu importe que ni le créancier poursuivant ni le préposé aux poursuites n'aient eu connaissance du prononcé de faillite (RO 23 II 1287 s., 40 III 342 consid. 1; cf. aussi RO 54 III 265; JAEGER, n. 3 ad art. 206 LP; BRAND, FJS no 1000 p. 12, ch. VII, 1 lettre e). Il est dès lors indifférent que l'ouverture de la faillite de Maurice Paratte n'ait pas été publiée. Le préposé à l'Office des poursuites et des faillites du district de Porrentruy, qui était chargé de la liquidation de la faillite, aurait dû informer le créancier poursuivant de cette procédure et l'inviter à produire sa créance dans la faillite (cf. JOSS, Handbuch für die Betreibungsbeamten der Schweiz, p. 116). La poursuite no 709 introduite en 1952 ne pouvait pas aboutir à la délivrance d'un acte de défaut de biens en 1959, pendant la liquidation de la faillite. La nouvelle poursuite no 20 664, requise le 12 octobre 1960, ne pouvait pas être introduite ni aboutir à l'acte de défaut de biens no 40, délivré le 13 février 1961.</w:t>
      </w:r>
    </w:p>
    <w:p>
      <w:r>
        <w:rPr>
          <w:b/>
        </w:rPr>
        <w:t>E. 3</w:t>
      </w:r>
    </w:p>
    <w:p>
      <w:r>
        <w:t>L'art. 206 LP est une disposition légale impérative. La règle énoncée relève de l'essence même de la faillite. Ce mode d'exécution forcée générale ne saurait comporter l'existence simultanée de procédures d'exécution spéciales dirigées contre le débiteur, hormis les exceptions rappelées plus haut (RO 79 III 168, 60 III 138, 40 III 342; JAEGER, n. 3 ad art. 206 LP). Nonobstant le doute exprimé dans l'arrêt Vogel, qui laisse la question indécise (RO 88 III 21 consid. 2), il faut s'en tenir au principe affirmé précédemment, selon lequel un acte de poursuite exécuté en violation de l'art. 206 LP n'est pas seulement annulable BGE 93 III 55 S. 59 sur plainte déposée en temps utile, mais radicalement nul; cette nullité doit être constatée d'office en tout temps par les autorités de surveillance (RO 40 III 342 consid. 1). Cela vaut en particulier pour l'acte de défaut de biens après saisie, délivré indûment pendant la liquidation de la faillite, qui n'est pas un acte irrévocable (cf. JAEGER, n. 3 ad art. 206 LP; RO 72 III 43 s., 73 III 26 s. consid. 3; cf. aussi RO 89 IV 79 consid. 2).</w:t>
      </w:r>
    </w:p>
    <w:p>
      <w:r>
        <w:rPr>
          <w:b/>
        </w:rPr>
        <w:t>E. 4</w:t>
      </w:r>
    </w:p>
    <w:p>
      <w:r>
        <w:t>La révocation de la faillite ne fait pas revivre les poursuites qui étaient pendantes lorsque la faillite à été prononcée - fût-ce à la requête du débiteur en vertu de l'art. 191 LP - et qui sont tombées de plein droit en vertu de l'art. 206 LP (RO 75 III 66 ss., 71). A plus forte raison, elle ne saurait valider les poursuites introduites durant la liquidation de la faillite. Les actes de défaut de biens délivrés contre Maurice Paratte sont dès lors nuls, en dépit de la révocation de sa faillite. Contrairement à l'opinion de l'autorité cantonale, les irrégularités de la procédure, en particulier le fait que ni l'ouverture, ni la révocation de la faillite n'ont été publiées, pas plus que l'absence de lésion des intérêts de tiers, ne sauraient faire obstacle à l'application de la disposition impérative de l'art. 206 LP. Dispositiv Par ces motifs, la Chambre des poursuites et des faillites: Admet le recours, réforme la décision de l'Autorité de surveillance du canton de Berne du 24 avril 1967 et prononce la nullité des actes de défaut de biens après saisie délivrés par l'Office des poursuites de Porrentruy contre Maurice Paratte, en faveur de Paul Despont, le 15 septembre 1959 et le 13 février 1961 (acte de défaut de biens no 40, de 1035 fr.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