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1</w:t>
      </w:r>
    </w:p>
    <w:p>
      <w:r>
        <w:t>Bundesgericht (BGE), 1967-01-01, DE</w:t>
      </w:r>
    </w:p>
    <w:p>
      <w:r>
        <w:rPr>
          <w:b/>
        </w:rPr>
        <w:t xml:space="preserve">Quelle: </w:t>
      </w:r>
      <w:r>
        <w:t>https://mcp.opencaselaw.ch/entscheid/bge_BGE_93_III_1</w:t>
      </w:r>
    </w:p>
    <w:p>
      <w:r>
        <w:t>FR: ATF 93 III 1</w:t>
      </w:r>
    </w:p>
    <w:p>
      <w:r>
        <w:t>IT: DTF 93 III 1</w:t>
      </w:r>
    </w:p>
    <w:p>
      <w:pPr>
        <w:pStyle w:val="Heading2"/>
      </w:pPr>
      <w:r>
        <w:t>Regeste</w:t>
      </w:r>
    </w:p>
    <w:p>
      <w:r>
        <w:t>Regeste Anweisungen und Entscheidungen der Schuldbetreibungs- und Konkurskammer.</w:t>
      </w:r>
    </w:p>
    <w:p>
      <w:r>
        <w:t>Regeste Instructions et arrêts de la chambre des poursuites et des faillites.</w:t>
      </w:r>
    </w:p>
    <w:p>
      <w:r>
        <w:t>Regesto Istruzioni e sentenze della camera di esecuzione e dei fallimenti.</w:t>
      </w:r>
    </w:p>
    <w:p>
      <w:pPr>
        <w:pStyle w:val="Heading2"/>
      </w:pPr>
      <w:r>
        <w:t>Erwägungen</w:t>
      </w:r>
    </w:p>
    <w:p>
      <w:r>
        <w:rPr>
          <w:b/>
        </w:rPr>
        <w:t>E. 1</w:t>
      </w:r>
    </w:p>
    <w:p>
      <w:r>
        <w:t>Zahlungsbefehle: Grundzätzlich sind alle ausgestellten Zahlungsbefehle zu melden, ohne Rücksicht darauf, ob sie zugestellt oder nicht zugestellt, ob sie zurückgezogen, widerrufen oder aufgehoben worden sind.</w:t>
      </w:r>
    </w:p>
    <w:p>
      <w:r>
        <w:rPr>
          <w:b/>
        </w:rPr>
        <w:t>E. 2</w:t>
      </w:r>
    </w:p>
    <w:p>
      <w:r>
        <w:t>Pfändungsvollzüge: Als Pfändungsvollzüge sind zu zählen a) alle Vollzüge mit Einschluss der direkten Verlustscheine ( Art. 115 SchKG ); b) Gruppenanschlüsse mit oder ohne Ergänzungspfändung; c) Ergänzungspfändungen auf Begehren von Gläubigern und Nachpfändungen im Sinne von Art. 145 SchKG ; BGE 93 III 1 S. 2 d) Änderung von Einkommenspfändungen (Erhöhung des Deckungsbetrages, Revision früherer Vollzüge); e) Requisitionspfändungen.</w:t>
      </w:r>
    </w:p>
    <w:p>
      <w:r>
        <w:rPr>
          <w:b/>
        </w:rPr>
        <w:t>E. 3</w:t>
      </w:r>
    </w:p>
    <w:p>
      <w:r>
        <w:t>Realizzazioni: Determinante è il numero delle esecuzioni per le quali si è proceduto a un atto di realizzazione. Come tale bisogna quindi considerare anche la vendita a trattative private eseguita dall'ufficio, l'incasso di importi pignorati su un reddito o di crediti di qualsiasi natura, l'attribuzione di pigioni e affitti incassati, cosî come l'assegnazione in pagamento o per l'incasso di crediti pignorati (art. 131 LEF). Nella misura in cui le indicazioni necessarie per stabilire la statistica federale non figurano nelle statistiche cantonali in materia di esecuzione, queste devono essere modificate in conse 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