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439</w:t>
      </w:r>
    </w:p>
    <w:p>
      <w:r>
        <w:t>Bundesgericht (BGE), 1966-01-01, DE</w:t>
      </w:r>
    </w:p>
    <w:p>
      <w:r>
        <w:rPr>
          <w:b/>
        </w:rPr>
        <w:t xml:space="preserve">Quelle: </w:t>
      </w:r>
      <w:r>
        <w:t>https://mcp.opencaselaw.ch/entscheid/bge_BGE_92_I_439</w:t>
      </w:r>
    </w:p>
    <w:p>
      <w:r>
        <w:t>FR: ATF 92 I 439</w:t>
      </w:r>
    </w:p>
    <w:p>
      <w:r>
        <w:t>IT: DTF 92 I 439</w:t>
      </w:r>
    </w:p>
    <w:p>
      <w:pPr>
        <w:pStyle w:val="Heading2"/>
      </w:pPr>
      <w:r>
        <w:t>Regeste</w:t>
      </w:r>
    </w:p>
    <w:p>
      <w:r>
        <w:t>Regeste Kantonales Steuerrecht. Grundsatz der Rechtsgleichheit. Kantonale Minimalsteuer, die von juristischen Personen auf dem vollen Verkehrswert ihrer Grundstücke (ohne Schuldenabzug) erhoben wird und insbesondere solche Immobiliengesellschaften und Genossenschaften trifft, welche (fast) keinen Gewinn erzielen und ein im Verhältnis zu ihrem Grundbesitz sehr geringes Eigenkapital aufweisen. Inwieweit ist diese Steuer mit dem Grundsatz der Rechtsgleichheit vereinbar und im Rahmen eines auf dem Grundsatz der Besteuerung nach der wirtschaftlichen Leistungsfähigkeit beruhenden Steuergesetzes zulässig?</w:t>
      </w:r>
    </w:p>
    <w:p>
      <w:r>
        <w:t>Regeste Droit fiscal cantonal. Principe de l'égalité de traitement. Impôt minimum cantonal perçu des personnes morales sur la pleine valeur vénale de leurs immeubles (sans défalcation des dettes), auquel sont assujetties notamment les sociétés immobilières et les sociétés coopératives qui ne réalisent (presque) aucun rendement net et dont le capital est minime par rapport à leur fortune immobilière. Dans quelle mesure cet impôt est-il compatible avec le principe de l'égalité de traitement et admissible au regard d'une loi fiscale fondée sur le principe de l'imposition selon la faculté contributive des assujettis?</w:t>
      </w:r>
    </w:p>
    <w:p>
      <w:r>
        <w:t>Regesto Diritto fiscale cantonale. Principio dell'eguaglianza davanti alla legge. Imposta minima cantonale percepita da persone giuridiche sul pieno valore venale dei loro immobili (senza deduzione dei debiti), la quale colpisce in particolare quelle società immobiliari e cooperative che non conseguono (quasi) nessun guadagno e dispongono di un capitale molto modesto rispetto al loro patrimonio immobiliare. In quale misura tale imposta è compatibile con il principio dell'eguaglianza giuridica e ammissibile nel quadro d'una legge tributaria fondata sul principio dell'imposizione secondo l'effettiva capacità contributiva del soggetto fiscale?</w:t>
      </w:r>
    </w:p>
    <w:p>
      <w:pPr>
        <w:pStyle w:val="Heading2"/>
      </w:pPr>
      <w:r>
        <w:t>Erwägungen</w:t>
      </w:r>
    </w:p>
    <w:p>
      <w:r>
        <w:rPr>
          <w:b/>
        </w:rPr>
        <w:t>E. 3</w:t>
      </w:r>
    </w:p>
    <w:p>
      <w:r>
        <w:t>Art. 4 BV bindet nicht nur den Richter und die Verwaltung, sondern auch den Gesetzgeber. Ausser den Schranken, die sich aus dem Verbot der interkantonalen Doppelbesteuerung, aus dem übrigen Verfassungs- und aus dem Bundesrecht ergeben, hat deshalb der kantonale Steuergesetzgeber das Gleichheitsprinzip nach Art. 4 BV und das sich daraus ergebende Willkürverbot zu beachten. Gegen diese verfassungsmässigen Grundsätze verstösst ein Steuergesetz, wie ein allgemein verbindlicher Erlass überhaupt, wenn es sich nicht auf ernsthafte sachliche Gründe stützen lässt, sinn- und zwecklos ist oder rechtliche Unterscheidungen trifft, für die ein vernünftiger Grund in den zu regelnden tatsächlichen Verhältnissen nicht ersichtlich ist ( BGE 91 I 84 Erw. 2 und dort angeführte frühere Urteile). Innerhalb dieses Rahmens steht BGE 92 I 439 S. 443 dem Gesetzgeber ein weiter Spielraum des Ermessens zu. Der Verfassungsrichter hat diese Befugnis zu achten und nur bei Ermessensmissbrauch oder -überschreitung einzugreifen. Dagegen darf er sein Ermessen nicht an die Stelle desjenigen des Gesetzgebers setzen und nicht schon einschreiten, wenn ein Erlass auf gesetzgebungspolitischen Erwägungen beruht, welche er für materiell unzutreffend erachtet ( BGE 90 I 98 Erw. 5, BGE 91 I 84 Erw. 2; vgl. auch BGE 61 I 92 ).</w:t>
      </w:r>
    </w:p>
    <w:p>
      <w:r>
        <w:rPr>
          <w:b/>
        </w:rPr>
        <w:t>E. 4</w:t>
      </w:r>
    </w:p>
    <w:p>
      <w:r>
        <w:t>Die Minimalsteuer dient zunächst der Deckung des staatlichen und gemeindlichen Finanzbedarfs und erfüllt damit den gleichen Zweck wie die übrigen im StG vorgesehenen Steuern. Daneben verfolgt sie, wie sich aus der Botschaft des Regierungsrates vom 25. Mai 1966 (S. 6-11) ergibt, noch einen besonderen Zweck. Der Regierungsrat war durch eine Motion eingeladen worden, dem Grossen Rat Vorschläge zur "Verwirklichung einer gleichmässigen Steuerbelastung der Unternehmen (des Detailhandels) ohne Rücksicht auf ihre Rechtsform" zu unterbreiten, wobei vor allem an das Verhältnis zwischen Genossenschaften und Kapitalgesellschaften gedacht war. Der Regierungsrat legte die derzeitigen Unterschiede in der Steuerbelastung dieser beiden Unternehmensformen dar und empfahl, zur Verminderung dieser Differenz bei den Genossenschaften die Progression des Steuersatzes auf dem Ertrag von 4-6% auf 3-10% auszudehnen und das eine Million übersteigende Kapital mit einem etwas höheren Satz (2,5 statt 2‰) zu besteuern. Im Zusammenhang damit schlug er vor, von allen juristischen Personen eine Minimalsteuer auf den im Kanton gelegenen Grundstücken zu erheben zur Gewährleistung einer minimalen fiskalischen Belastung dieser Liegenschaften. Angesichts des allgemeinen und des besonderen Zwecks der streitigen Minimalsteuer ist es klar und unbestritten, dass die sie betreffenden Bestimmungen nicht sinn- und zwecklos sind. Streitig ist einzig, ob sie sich auf ernsthafte sachliche Gründe stützen lassen und ob die damit geschaffene Sonderbehandlung gewisser juristischer Personen in anders gearteten tatsächlichen Verhältnissen eine Rechtfertigung findet.</w:t>
      </w:r>
    </w:p>
    <w:p>
      <w:r>
        <w:rPr>
          <w:b/>
        </w:rPr>
        <w:t>E. 5</w:t>
      </w:r>
    </w:p>
    <w:p>
      <w:r>
        <w:t>Wie alle neuern Gesetze über die direkten Steuern beruht auch das st. gallische StG auf dem Gedanken der Besteuerung der natürlichen und juristischen Personen nach ihrer wirtschaftlichen Leistungsfähigkeit. Die Beschwerdeführer wenden ein, mit der streitigen Minimalsteuer werde dieser BGE 92 I 439 S. 444 Grundsatz zum Nachteil einiger weniger Steuerpflichtigen ohne haltbaren Grund durchbrochen. Der Regierungsrat dagegen behauptet, dass diese Personen ohne die Minimalsteuer gerade nicht ihrer wirklichen Leistungsfähigkeit entsprechend belastet würden. Bei den natürlichen Personen gelten Reineinkommen und Reinvermögen als Masstab der wirtschaftlichen Leistungsfähigkeit und bilden daher die Objekte der direkten Hauptsteuern. Bei den juristischen Personen wird im allgemeinen auf den Reingewinn (Reinertrag) und auf das Kapital und die Reserven abgestellt. Nun gibt es aber juristische Personen, die aus bestimmten Gründen nur einen ganz kleinen Gewinn erzielen oder auf die Erzielung eines solchen überhaupt verzichten und ein im Verhältnis zu ihren Aktiven sehr geringes Eigenkapital aufweisen. Diese Körperschaften sind zumeist als Genossenschaften organisiert, häufig aber auch als Aktiengesellschaften, so vor allem Immobiliengesellschaften, dann z.B. Partnerwerke der Elektrizitätswirtschaft (vgl. BGE 82 I 288 ff.). Eine vom Eidg. Finanz- und Zolldepartement auf Grund einer Motion Piller eingesetzte Expertenkommission hat die damit zusammenhängenden Fragen eingehend geprüft und ihre Auffassung in dem 1955 erschienenen Bericht "Zum Problem der gleichmässigen Besteuerung der Erwerbsunternehmen" dargelegt. Sie kam dabei zum Ergebnis, dass bei den nicht gewinnstrebigen Genossenschaften und Aktiengesellschaften weder der ausgewiesene Reinertrag noch das Eigenkapital die wirtschaftliche Leistungsfähigkeit hinreichend zum Ausdruck bringe und eine Steuerordnung, die ausschliesslich auf diese Faktoren abstelle, zu einer Privilegierung dieser Körperschaften führe (S. 52, 88/89). Die Ausführungen, mit denen dies näher begründet wird, sind überzeugend. Für ihre Richtigkeit sprechen auch die in der Botschaft des st. gallischen Regierungsrates (S. 25) und anderswo (vgl. z.B. KUTTLER, Die Bodenverteuerung als Rechtsproblem, ZSR 1964 II S. 279 Anm. 50) genannten Beispiele aus der Praxis. Im Hinblick hierauf kann dem Bestreben des Gesetzgebers, diese Privilegierung der nicht gewinnstrebigen Unternehmungen durch Anwendung eines andern Kriteriums zur Bestimmung ihrer wirtschaftlichen Leistungsfähigkeit zu beseitigen, ein ernsthafter sachlicher Grund nicht abgesprochen werden. Zu prüfen bleibt, ob das vom st. gallischen Gesetzgeber gewählte Kriterium rechtliche Unterscheidungen BGE 92 I 439 S. 445 trifft, für die ein vernünftiger Grund fehlt, oder zu Ergebnissen führt, die innerhalb eines auf dem Grundsatz der Besteuerung nach der wirtschaftlichen Leistungsfähigkeit beruhenden Steuergesetzes unhaltbar sind, und die Betroffenen rechtsungleich behandelt.</w:t>
      </w:r>
    </w:p>
    <w:p>
      <w:r>
        <w:rPr>
          <w:b/>
        </w:rPr>
        <w:t>E. 6</w:t>
      </w:r>
    </w:p>
    <w:p>
      <w:r>
        <w:t>Um die nicht gewinnstrebigen Unternehmungen gemäss ihrer tatsächlichen Leistungsfähigkeit zu besteuern, haben die Kantone Waadt, Wallis und Thurgau eine Steuer auf den Bruttoeinnahmen (dem Umsatz) eingeführt, die als Minimalsteuer auf die ordentlichen Steuern anzurechnen ist, d.h. nur erhoben wird, wenn sie die Steuern auf dem Reingewinn und dem Kapital übersteigt. Inwieweit diese Minimalsteuern mit Art. 4 BV vereinbar sind (wozu vgl. I. BLUMENSTEIN und M. IMBODEN ASA 34 S. 1 ff. und 193 ff.), ist hier nicht zu prüfen. Der Kanton St. Gallen ist einen andern Weg gegangen und h.at (nach dem Vorbild des vom Kanton Basel-Stadt seinem StG am 22. Dezember 1964 beigefügten § 77 b) eine Minimalsteuer eingeführt, die als Objektsteuer (ohne Schuldenabzug) von den juristischen Personen auf ihren im Kanton gelegenen Grundstücken zu entrichten ist, 1‰ des amtlichen Verkehrswerts derselben beträgt und anstelle der ordentlichen Steuern nur erhoben wird, wenn sie diese um mehr als Fr. 200.-- übersteigt. a) Darin, dass diese Minimalsteuer nur von den juristischen, nicht auch von den natürlichen Personen erhoben wird, liegt keine unzulässige rechtsungleiche Behandlung. Einmal werden die juristischen Personen in der Schweiz allgemein nach andern Grundsätzen als die natürlichen besteuert. Sodann treffen die Gründe, die den Gesetzgeber zur Einführung der Minimalsteuer bewogen haben, sozusagen ausschliesslich bei juristischen Personen zu. Nur bei ihnen kommt es praktisch vor, dass sie über erhebliche Vermögenswerte verfügen und eine umfang- und erfolgreiche wirtschaftliche Tätigkeit ausüben, dabei aber kein oder nur ein ganz geringes steuerbares Vermögen und Einkommen aufweisen. Es ist daher aus dem Gesichtspunkt des Art. 4 BV nicht zu beanstanden, dass die Minimalsteuer, mit der in solchen Fällen die Besteuerung gemäss der tatsächlichen Leistungsfähigkeit erreicht werden soll, nur juristische Personen trifft (vgl. IMBODEN a.a.O. S. 195/6). b) Innerhalb eines auf dem Grundsatz der Besteuerung nach der wirtschaftlichen Leistungsfähigkeit aufgebauten Steuergesetzes BGE 92 I 439 S. 446 hat eine Minimalsteuer für nicht gewinnstrebige Personen nur Platz, wenn ihr Objekt so geartet ist, dass es anstelle des fehlenden Gewinns und Kapitals als Kriterium für die Bestimmung der wirtschaftlichen Leistungsfähigkeit gelten kann. aa) Dass der Grundbesitz, den die Minimalsteuern der Kantone St. Gallen und Basel-Stadt zum Gegenstand haben, bei den als Aktiengesellschaften oder Genossenschaften organisierten Immobiliengesellschaften ein solches Kriterium ist, lässt sich im Ernste nicht bezweifeln. Wenn eine Immobiliengesellschaft trotz umfangreichem Liegenschaftsbesitz kein oder wenig steuerbares Kapital aufweist, so ist das meist darauf zurückzuführen, dass sie den Erwerb der Liegenschaften fast ausschliesslich mit Fremdkapital finanzieren konnte. Und wenn sie trotz normaler Ertragsfähigkeit ihrer Liegenschaften keinen oder nur einen geringen Gewinn erzielt, so hat dies seinen Grund ausser in der eben genannten Art der Finanzierung regelmässig darin, dass sie als Aktiengesellschaft zugunsten der sie beherrschenden Personen und als Genossenschaft zugunsten ihrer Mitglieder absichtlich keinen (höheren) Gewinn erzielt. Wenn bei solchen juristischen Personen trotz fehlendem steuerbaren Gewinn und Kapital eine gewisse, die Besteuerung rechtfertigende wirtschaftliche Leistungsfähigkeit angenommen und der Masstab für diese im Verkehrswert ihrer Liegenschaften erblickt wird, so leuchtet dies durchaus ein, da die ungewöhnliche Art der Finanzierung für das Vorliegen einer im Reingewinn und Eigenkapital nicht hinreichend zum Ausdruck kommenden Leistungsfähigkeit spricht und ein geeigneterer Masstab als der Wert der Liegenschaften kaum zu finden ist. Richtig ist freilich, dass bei solchen juristischen Personen eine angemessene Besteuerung sich unter Umständen auch dadurch erreichen lässt, dass man einen Teil des Fremdkapitals als verdecktes Eigenkapital behandelt (vgl. BGE 90 I 156 und 221) oder Leistungen an Dritte nicht als geschäftsmässig begründete Unkosten gelten lässt (vgl. BGE 91 I 398 /9). Allein dieser Weg führt, wie das Urteil des st. gallischen Kantonsgerichts vom 16. November 1961 (Steuer Revue 17/1962 S. 483) zeigt, nicht immer zum Ziel, weshalb es dem Gesetzbeger nicht verwehrt werden kann, die tatsächliche wirtschaftliche Leistungsfähigkeit der Immobiliengesellschaften mit einer auf dem Wert ihrer Liegenschaften berechneten Minimalsteuer zu erfassen (vgl. auch IMBODEN a.a.O. S. 199/200). BGE 92 I 439 S. 447 bb) Etwas zweifelhafter mag sein, ob der Liegenschaftsbesitz bei denjenigen Genossenschaften ein taugliches Kriterium für die Bestimmung ihrer wirtschaftlichen Leistungsfähigkeit ist, die neben der Verwaltung von Liegenschaften als Konsum-, Einkaufsgenossenschaften usw. ein Handelsgeschäft betreiben. Soweit Genossenschaften mit Geschäftsbetrieb überhaupt keine Liegenschaften besitzen, werden sie, obwohl der Grund für die Erhebung einer Minimalsteuer, nämlich wirtschaftliche Leistungsfähigkeit trotz Fehlen eines steuerbaren Gewinns und Kapitals, auch bei ihnen vorliegen kann, durch die streitige Minimalsteuer überhaupt nicht betroffen. Indessen wird es sich dabei meist um kleinere Unternehmen handeln, bei denen auch eine anders ausgestaltete Minimalsteuer wenig ergiebig wäre und bei denen daher darin, dass sie von der Minimalsteuer auf Grundeigentum nicht erfasst werden, keine ins Gewicht fallende Privilegierung liegt. Grössere Genossenschaften mit Geschäftsbetrieben verfügen in der Regel über eigene Liegenschaften. Wenn sie trotz beträchtlichem ertragsfähigem Grundbesitz (fast) kein steuerbares Einkommen und Kapital aufweisen, so verhält es sich bei ihnen ähnlich wie bei den reinen Immobiliengesellschaften, d.h. sie haben ihre Liegenschaften mit fremden, ihnen von interessierten Dritten zur Verfügung gestellten Mitteln erworben und verzichten zugunsten dieser Dritten oder ihrer Mitglieder auf die Erzielung von Gewinn. Unter diesen Umständen erscheint auch bei diesen Genossenschaften der Wert ihres Liegenschaftsbesitzes als taugliches Kriterium zur Bestimmung ihrer tatsächlichen wirtschaftlichen Leistungsfähigkeit. c) In BGE 40 I 65 Erw. 2 hat das Bundesgericht entschieden, dass eine Minimalsteuer, welche von den ordentlicherweise nur für ihre eigenen Gelder (Kapital und Reserven) besteuerten Aktiengesellschaften und Genossenschaften auf dem vollen Wert ihres Grundeigentums ohne Schuldenabzug erhoben wurde, jedes sachlich zureichenden Grundes entbehre und vor Art. 4 BV nicht bestehen könne. Von diesem Urteil ist das Bundesgericht indes schon in BGE 86 I 215 Erw. 2 abgerückt. Es hat dort eine von den juristischen Personen neben der Ertragssteuer zu entrichtende Steuer auf der "Substanz" als mit Art. 4 BV vereinbar erklärt, welche neben dem (einbezahlten und nicht einbezahlten) Kapital und den Reserven auch den diese Faktoren übersteigenden Wert des Grundeigentums (ohne Schuldenabzug) BGE 92 I 439 S. 448 erfasste und nach der Absicht des Gesetzgebers verhindern sollte, dass Immobiliengesellschaften mit geringem Gesellschaftskapital und grossem, mit Hypotheken belastetem Grundbesitz sich der Steuer auf den Immobilien entziehen. Soweit in BGE 40 I 65 Erw. 2 wie auch in BGE 61 I 324 ff. die Auffassung zum Ausdruck kommt, eine nur eine kleine Gruppe von Steuerpflichtigen treffende Minimalsteuer auf dem Liegenschaftsvermögen oder auf dem Umsatz habe innerhalb eines im übrigen auf dem System der Reineinkommens- und Reinvermögenssteuer aufgebauten Steuergesetz auf keinen Fall Platz und verstosse stets gegen den Grundsatz der Rechtsgleichheit, kann hieran nicht festgehalten werden. Die im ersten Fall beurteilte Minimalsteuer auf dem Grundeigentum richtete sich vor allem gegen ausserkantonale Unternehmen und verstiess insoweit auch gegen das Verbot der interkantonalen Doppelbesteuerung ( BGE 40 I 68 Erw. 3). Die Minimalsteuer auf dem Umsatz aber, um die es im zweiten Falle ging, war offensichtlich eine gewerbepolitische Massnahme gegenüber Grossunternehmen des Kleinhandels und verletzte daher auch den Art. 31 BV ( BGE 61 I 330 Erw. 3). Die heute streitige Minimalsteuer auf Grundstücken juristischer Personen verfolgt andere Zwecke. Sie richtet sich, ähnlich wie die in BGE 86 I 209 ff. beurteilte tessinische Steuer auf der "Substanz" und die in Erw. 6 hievor erwähnte baselstädtische Minimalsteuer, gegen eine Erscheinung, die in den letzten Jahrzehnten überhandgenommen hat, nämlich gegen juristische Personen mit Grundbesitz, die so organisiert und finanziert sind, dass sie kein oder fast kein steuerbares Einkommen und Kapital aufweisen und damit grosse Vermögenswerte der Besteuerung am Orte der gelegenen Sache entziehen. Soweit sich daraus interkantonale Steuerkonflikte ergeben, hat das Bundesgericht in der letzten Zeit durch Ausbau und Verfeinerung seiner Doppelbesteuerungsrechtsprechung dem Besteuerungsrecht des Liegenschaftskantons verstärkten Schutz verliehen (vgl. BGE 78 I 326 , BGE 79 I 31 und 145, BGE 85 I 95 , BGE 91 I 396 und 467). In der gleichen Richtung gehen die Bestrebungen einzelner Kantone, durch eine Minimalsteuer auf dem Grundeigentum juristischer Personen einer Aushöhlung des Rechts zur Besteuerung des unbeweglichen Vermögens entgegenzutreten und eine minimale fiskalische Belastung dieses Vermögens sicherzustellen. Wenn der kantonale Gesetzgeber dabei statt des bei diesen juristischen BGE 92 I 439 S. 449 Personen fehlenden Gewinns und Eigenkapitals den Wert ihrer Liegenschaften als Kriterium der für die Besteuerung massgebenden wirtschaftlichen Leistungsfähigkeit betrachtet, so besteht für das Bundesgericht aus dem Gesichtspunkt des Art. 4 BV kein Anlass zum Einschreiten, da von diesem Kriterium, wie bereits ausgeführt, nicht gesagt werden kann, es entbehre jeder ernsthaften sachlichen Begründung oder treffe rechtliche Unterscheidungen, die sich durch keine vernünftigen Gründe rechtfertigen lassen. d) Wie der Regierungsrat hervorhebt und die Beschwerdeführer nicht bestreiten, verfolgt der st. gallische Gesetzgeber mit der streitigen Minimalsteuer keine gewerbepolitischen Zwecke und beabsichtigt nicht, damit die Beschwerdeführer im wirtschaftlichen Wettbewerb zum Vorteil anderer Wettbewerbsteilnehmer zu schwächen. Insbesondere hat die Minimalsteuer, da sie nicht progressiv ausgestaltet ist, nicht zur Folge, Genossenschaften und Aktiengesellschaften mit grossem Liegenschaftsbesitz gegenüber kleinen Körperschaften zu benachteiligen. Entgegen der Behauptung der Beschwerdeführer geht es auch nicht darum, diese dafür zu bestrafen, dass sie nicht gewinnstrebig sind, so wenig wie es bei der (progressiven) Besteuerung der gewinnstrebigen Unternehmen darum geht, sie dafür zu bestrafen, dass sie einen (mehr oder weniger hohen) Gewinn erzielen. Im einen wie im andern Fall handelt es sich vielmehr darum, die Steuersubjekte im Verhältnis zu ihrer tatsächlichen wirtschaftlichen Leistungsfähigkeit zur Finanzierung der öffentlichen Aufgaben heranzuziehen. Die Beschwerdeführer werden durch die Minimalsteuer auch nicht etwa gezwungen, im Widerspruch zu ihrem Wesen als Genossenschaften Gewinne zu erzielen. Sie haben inskünftig lediglich mit höheren Unkosten zu rechnen. Dass die Minimalsteuer (die zur Zeit mit Einschluss der Zuschläge für Staat und Gemeinden 2,9‰ des Verkehrswertes der Liegenschaften ausmacht) die Beschwerdeführer in der Erfüllung ihres statutarischen Zweckes ernstlich behindere oder gar ihre Aussichten im wirtschaftlichen Wettbewerb verschlechtere, behaupten sie nicht und versuchen es noch weniger darzutun. Die Beschwerdeführer 1, 2 und 3 erklären, sie müssten die jährlich Fr. 13'650.-- bzw. 22'500.-- bzw. 23'400.-- betragende Minimalsteuer den ihnen angeschlossenen Konsumgenossenschaften belasten, welche sie ihrerseits in Form erhöhter Preise auf die Konsumenten überwälzen müssten. Über BGE 92 I 439 S. 450 das Ausmass dieser Preiserhöhung schweigen sie sich jedoch aus und ist den eingereichten Akten nichts zu entnehmen. Ob die beiden Baugenossenschaften, die Beschwerdeführer 4 und 5, von der Minimalsteuer betroffen werden oder gemäss Art. 56bis Abs. 2 StG von ihr befreit sind, wird von den Veranlagungsbehörden zu entscheiden sein und steht noch nicht fest. Davon, dass ihre Wohnungen leer stehen oder nur schwer vermietbar würden, wenn sie die Steuer entrichten und infolgedessen ihre Mietzinsen erhöhen müssen, kann indes offensichtlich nicht die Rede sein, zumal sie ihre Bauten zum Teil mit niedrig verzinslichen Bundesgeldern finanzieren konnten und damit einen Vorsprung vor den übrigen Vermietern haben. Die Eisenbahner-Baugenossenschaft St. Gallen, die nach dem Jahresbericht für 1965 über 260 Wohnungen verfügt und im Jahre 1966 97 weitere fertigstellt, hätte nach ihrer Angabe eine Minimalsteuer von rund Fr. 30'000.-- zu bezahlen, was - nach Wegfall der bisher entrichteten Kapitalsteuer - nur eine geringe zusätzliche Belastung (im Durchschnitt weniger als Fr. 100.-- pro Wohnung) ausmacht. Bei der Wohnbaugenossenschaft Gess ist die Zahl der Wohnungen dem Jahresbericht nicht zu entnehmen; die Mehrbelastung von rund Fr. 10'000.-- würde nicht ganz 6% der in der Jahresrechnung für 1965 ausgewiesenen Mietzinseinnahmen von Fr. 170'680.-- ausmachen, was ebenfalls als erträglich erscheint. Auch was die Höhe der Minimalsteuer und ihre Auswirkungen auf die heutigen Beschwerdeführer betrifft, kann daher nicht gesagt werden, der st. gallische Gesetzgeber habe das ihm zustehende Ermessen missbraucht und Art. 4 BV verletzt.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