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57</w:t>
      </w:r>
    </w:p>
    <w:p>
      <w:r>
        <w:t>Bundesgericht (BGE), 1966-01-01, DE</w:t>
      </w:r>
    </w:p>
    <w:p>
      <w:r>
        <w:rPr>
          <w:b/>
        </w:rPr>
        <w:t xml:space="preserve">Quelle: </w:t>
      </w:r>
      <w:r>
        <w:t>https://mcp.opencaselaw.ch/entscheid/bge_BGE_92_IV_57</w:t>
      </w:r>
    </w:p>
    <w:p>
      <w:r>
        <w:t>FR: ATF 92 IV 57</w:t>
      </w:r>
    </w:p>
    <w:p>
      <w:r>
        <w:t>IT: DTF 92 IV 57</w:t>
      </w:r>
    </w:p>
    <w:p>
      <w:pPr>
        <w:pStyle w:val="Heading2"/>
      </w:pPr>
      <w:r>
        <w:t>Regeste</w:t>
      </w:r>
    </w:p>
    <w:p>
      <w:r>
        <w:t>Regeste 1. Art. 221 MStG, Art. 264 BStP. Überträgt das Eidgenössische Militärdepartementdie Gerichtsbarkeitden bürgerlichenBehörden, ohne ein bestimmtes Gericht zu bezeichnen, so kann für die Bestimmung des interkantonalen Gerichtsstandes die Anklagekammer des Bundesgerichts angerufen werden. 2. Art. 350 Ziff. 1 Abs. 2 StGB. Erhebungen der bürgerlichen Behörden, die in einer an sich der Militärgerichtsbarkeit unterstehenden Sache vorgenommen wurden, bevor ein Beschluss nach Art. 221 MStG auf Übertragung der Gerichtsbarkeit an die bürgerlichen Behörden gefasst worden ist, fallen bei der Bestimmung des Gerichtsstandes des Art. 350 Ziff. 1 Abs. 2 StGB ausser Betracht.</w:t>
      </w:r>
    </w:p>
    <w:p>
      <w:r>
        <w:t>Regeste 1. Art. 221 CPM, 264 PPF. Lorsque le Département militaire fédéral défère le jugement de la cause aux juridictions ordinaires sans désigner un tribunal déterminé, la Chambre d'accusation du Tribunal fédéral peut être requise de fixer le for intercantonal. 2. Art. 350 ch. 1 al. 2 CP. Ne jouent pas de rôle pour déterminer le for de l'art. 350 ch. 1 al. 2 CP les procédés d'enquête qui ont été entrepris par les juridictions ordinaires dans une cause ressortissant en soi aux tribunaux militaires et qui sont intervenus avant qu'une décision soit prise en vertu de l'art. 221 CPM sur le transfert de la cause aux juridictions ordinaires.</w:t>
      </w:r>
    </w:p>
    <w:p>
      <w:r>
        <w:t>Regesto 1. Art. 221 CPM, 264 PPF. Se il Dipartimento militare federale deferisce il giudizio della causa alle giurisdizioni ordinarie, senza designare un tribunale determinato, la Camera d'accusa del Tribunale federale può essere richiesta di fissare il foro intercantonale. 2. Art. 350 num. 1 cpv. 2 CP. Indagini compiute dalle giurisdizioni ordinarie, in una causa che soggiace di per sè ai tribunali militari, prima che fosse presa una decisione in virtù dell'art. 221 CPM sul deferimento della causa alle giurisdizioni ordinarie, non entrano in considerazione per la determinazione del foro dell'art. 350 num. 1 cpv. 2 CP.</w:t>
      </w:r>
    </w:p>
    <w:p>
      <w:pPr>
        <w:pStyle w:val="Heading2"/>
      </w:pPr>
      <w:r>
        <w:t>Erwägungen</w:t>
      </w:r>
    </w:p>
    <w:p>
      <w:r>
        <w:rPr>
          <w:b/>
        </w:rPr>
        <w:t>E. 1</w:t>
      </w:r>
    </w:p>
    <w:p>
      <w:r>
        <w:t>Wird die Verfolgung und Beurteilung von strafbaren Handlungen, die der Militärgerichtsbarkeit unterstehen, vom Eidgenössischen Militärdepartement in Anwendung von Art. 221 MStG und Art. 16 lit. c der Verordnung über die Militärstrafrechtspflege vom 29. Januar 1954 einem bestimmten bürgerlichen Gericht übertragen, so ist nach der Rechtsprechung der Anklagekammer diese Gerichtsstandsbestimmung auch für die bürgerlichen Straffälle verbindlich, die mit den militärischen zusammentreffen, und es kann die Verfügung des Militärdepartements nur durch Verwaltungsbeschwerde beim Bundesrat, nicht bei der Anklagekammer des Bundesgerichts angefochten werden ( BGE 81 IV 265 ff.). Im gleichen Sinne hat auch der Bundesrat entschieden (Verwaltungsentscheide der Bundesbehörden, 1956 Nr. 75). Zu dieser Rechtsprechung braucht nicht Stellung genommen zu werden. Das Eidgenössische Militärdepartement hat im vorliegenden Falle die Gerichtsbarkeit den bürgerlichen Gerichten übertragen, ohne den Gerichtsstand zu bestimmen. Es erliess die Verfügung "conformément à la proposition du juge d'instruction du Tribunal de division 2", und dementsprechend lautet der Entscheid lediglich: "Le jugement de toutes les infractions est déféré au tribunal ordinaire". Der Untersuchungsrichter des Divisionsgerichts 2 hatte in seinem Antrag ausdrücklich darauf hingewiesen, der Untersuchungsrichter 4 von Bern, der die Vereinigung der beiden Untersuchungen ebenfalls für notwendig halte, werde seine Strafakten dem Generalprokurator des Kantons Bern überweisen, der den bürgerlichen Strafgerichtsstand noch werde bestimmen müssen. Der am Fusse des Delegationsentscheides angebrachte Vermerk, dass die Verfügung mit den militärgerichtlichen Akten zum Vollzug an den Untersuchungsrichter von Bern zu überweisen sei, bedeutet daher nicht, dass das Militärdepartement die Behörden von Bern als örtlich zuständig bezeichnen wollte, sondern die Überweisung kann nur den Sinn haben, dass der Untersuchungsrichter von Bern die weiteren Schritte zur Ermittlung des örtlich zuständigen Gerichts veranlassen sollte. Auf das Gesuch des Generalprokurators des Kantons Bern ist daher einzutreten.</w:t>
      </w:r>
    </w:p>
    <w:p>
      <w:r>
        <w:rPr>
          <w:b/>
        </w:rPr>
        <w:t>E. 2</w:t>
      </w:r>
    </w:p>
    <w:p>
      <w:r>
        <w:t>Wird jemand wegen mehrerer strafbarer Handlungen BGE 92 IV 57 S. 60 verfolgt, die er an verschiedenen Orten begangen hat, so befindet sich für alle der Gerichtsstand dort, wo wegen einer der mit der schwersten Strafe bedrohten Taten die Untersuchung zuerst angehoben worden ist ( Art. 350 Ziff. 1 StGB ). Untersuchungen, die nur mit milderer Strafe bedrohte Handlungen betreffen, begründen den Gerichtsstand des Art. 350 StGB nicht ( BGE 71 IV 169 und ständige Rechtsprechung). In der vorliegenden Sache sind daher die mit Gefängnis als Höchststrafe bedrohten Taten (Entwendung von Motorfahrzeugen zum Gebrauch, Unerlaubte Entfernung, Missbrauch und Verschleuderung von Material) nicht in Betracht zu ziehen. Die Diebstähle ( Art. 137 Ziff. 1 StGB , Art. 129 Ziff. 1 MStG ) und der Betrug ( Art. 148 Abs. 1 StGB ) werden mit Zuchthaus bedroht.</w:t>
      </w:r>
    </w:p>
    <w:p>
      <w:r>
        <w:rPr>
          <w:b/>
        </w:rPr>
        <w:t>E. 3</w:t>
      </w:r>
    </w:p>
    <w:p>
      <w:r>
        <w:t>Der Gerichtsstand der ersten Untersuchungshandlung kann nur in einem Kanton begründet werden, dem an sich in der betreffenden Sache die Gerichtsbarkeit zusteht, nicht aber in einem Kanton, dessen Behörden sich vorläufig mit einer Sache befassen, die, für sich allein betrachtet, in einem andern Kanton verfolgt werden müsste ( BGE 72 IV 95 , BGE 73 IV 59 ). Daher fallen auch Erhebungen der bürgerlichen Behörden in einer an sich der Militärgerichtsbarkeit unterstehenden Sache bei der Bestimmung des Gerichtsstandes des Art. 350 Ziff. 1 Abs. 2 StGB ausser Betracht, wenn sie vorgenommen wurden, bevor ein Beschluss nach Art. 221 MStG auf Übertragung der Gerichtsbarkeit an die bürgerlichen Behörden gefasst worden ist; der Delegationsbeschluss wirkt nicht auf den Zeitpunkt zurück, in dem die bürgerliche Behörde vorläufige Erhebungen traf. Es ist deshalb unerheblich, dass der in der Nacht vom 7./8. November 1965 verübte Diebstahl an einem Radioapparat am folgenden Tag dem Kantonspolizeiposten von Tavannes angezeigt wurde und erst später Gegenstand der militärgerichtlichen Voruntersuchung bildete. Von den anderen mit der schwersten Strafe bedrohten Taten wurde zuerst der in Susten begangene Diebstahl in Untersuchung gezogen. Es sind daher die Behörden des Kantons Wallis zuständig, Zurbuchen für alle ihm zur Last gelegten strafbaren Handlungen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