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IV 4</w:t>
      </w:r>
    </w:p>
    <w:p>
      <w:r>
        <w:t>Bundesgericht (BGE), 1966-01-01, DE</w:t>
      </w:r>
    </w:p>
    <w:p>
      <w:r>
        <w:rPr>
          <w:b/>
        </w:rPr>
        <w:t xml:space="preserve">Quelle: </w:t>
      </w:r>
      <w:r>
        <w:t>https://mcp.opencaselaw.ch/entscheid/bge_BGE_92_IV_4</w:t>
      </w:r>
    </w:p>
    <w:p>
      <w:r>
        <w:t>FR: ATF 92 IV 4</w:t>
      </w:r>
    </w:p>
    <w:p>
      <w:r>
        <w:t>IT: DTF 92 IV 4</w:t>
      </w:r>
    </w:p>
    <w:p>
      <w:pPr>
        <w:pStyle w:val="Heading2"/>
      </w:pPr>
      <w:r>
        <w:t>Regeste</w:t>
      </w:r>
    </w:p>
    <w:p>
      <w:r>
        <w:t>Regeste Art. 48 StGB; Bemessung der Busse. Nach dem Verschulden bestimmt sich die Härte der Strafe; nach den Einkommens- und Vermögensverhältnissen unter anderem ist die Höhe der Busse so zu bemessen, dass sie den Gebüssten in dieser Härte treffe.</w:t>
      </w:r>
    </w:p>
    <w:p>
      <w:r>
        <w:t>Regeste Art. 48 CP; fixation de l'amende. La gravité de la peine est fonction de la culpabilité du condamné; le juge fixe le montant de l'amende de telle sorte que, compte tenu notamment de la fortune et des revenus du condamné, elle constitue pour celui-ci une peine de cette gravité.</w:t>
      </w:r>
    </w:p>
    <w:p>
      <w:r>
        <w:t>Regesto Art. 48 CP; commisurazione della pena. L'asprezza della pena si determina secondo la colpevolezza del condannato; l'importo della multa deve essere tra l'altro fissato secondo le condizioni di reddito e di sostanza, in modo che essa colpisca il condannato con l'adeguato rigore.</w:t>
      </w:r>
    </w:p>
    <w:p>
      <w:pPr>
        <w:pStyle w:val="Heading2"/>
      </w:pPr>
      <w:r>
        <w:t>Erwägungen</w:t>
      </w:r>
    </w:p>
    <w:p>
      <w:r>
        <w:rPr>
          <w:b/>
        </w:rPr>
        <w:t>E. 1</w:t>
      </w:r>
    </w:p>
    <w:p>
      <w:r>
        <w:t>Gemäss Art. 48 Ziff. 2 Abs. 1 StGB bestimmt der Richter den Betrag der Busse je nach den Verhältnissen des Täters so, dass dieser durch die Einbusse die Strafe erleidet, die seinem Verschulden angemessen ist. Von Bedeutung sind nach Absatz 2 der nämlichen Ziffer u.a. namentlich das Einkommen und das Vermögen des Täters. Mit dieser Bestimmung will nichts anderes erreicht werden, als dass durch die auszufällende Busse der wirtschaftlich Starke nicht minder hart getroffen werde als der wirtschaftlich Schwache. Darin liegt nicht, wie im angefochtenen Urteil ausgeführt wird, eine Abweichung, sondern eine Bestätigung der in Art. 63 StGB enthaltenen allgemeinen Strafzumessungsregel, die im Hinblick auf die Besonderheit der Busse in Art. 48 Ziff. 2 StGB lediglich BGE 92 IV 4 S. 6 eine entsprechende Verdeutlichung erfährt (vgl. zu dieser Bestimmung die Kommentare THORMANN/VON OVERBECK N. 8 und LOGOZ N. 6 lit. c, sowie WAIBLINGER in ZBJV Bd. 88 S. 198). Ebensowenig lässt sich sagen, das Verschulden sei erst in zweiter Linie, innerhalb des durch Einkommen und Vermögen gezogenen Rahmens zu würdigen. Das Verschulden bildet vielmehr auch hier die Grundlage der Strafzumessung. Nach ihm bemisst sich, wie hart die Strafe den Schuldigen treffen soll. Erst danach ist nebst den übrigen in Art. 48 Ziff. 2 Abs. 2 StGB genannten Umständen (Familienstand, Familienpflichten, Beruf, Erwerb, Alter, Gesundheit) anhand der Einkommens- und Vermögensverhältnisse die Höhe der Busse so anzusetzen, dass sie den Verurteilten in der dem Verschulden angepassten Härte treffe.</w:t>
      </w:r>
    </w:p>
    <w:p>
      <w:r>
        <w:rPr>
          <w:b/>
        </w:rPr>
        <w:t>E. 2</w:t>
      </w:r>
    </w:p>
    <w:p>
      <w:r>
        <w:t>Nach den übrigen Erwägungen des Obergerichts würde das Urteil vor Bundesrecht ohne weiteres standhalten. Das Verschulden des Beschwerdeführers kann auf Grund der vorinstanzlichen Feststellungen nicht als leicht bezeichnet werden, weder im Hinblick auf die vor seiner Fahrt eingenommene Menge alkoholischer Getränke (ein Glas Champagner, drei Gläser Weisswein und etwa fünf Gläser Bordeaux im Verlauf von sechs Stunden), noch angesichts seiner Fahrweise, die mit 70 km/Std. innerorts eine übersetzte Geschwindigkeit aufwies. Dazu kommt, dass R. schon mehrmals wegen Verletzung von Verkehrsregeln hatte gebüsst werden müssen, vorab wegen zu raschen Fahrens, vorschriftswidrigen und rücksichtlosen Überholens. Müsste, wie die Vorinstanz erklärt, nach der Regel für die gleiche Verfehlung ein Angeklagter mit einem Jahreseinkommen von Fr. 12'000.-- mit Fr. 300.-- gebüsst werden. so erleidet R., der an Einkommen das zwanzigfache erwirbt, mit einer Busse von Fr. 5'000.-- verhältnismässig immer noch das kleinere Strafübel als jener. Auch vom Gesichtspunkte des in Art. 91 Ziff. 1 SVG vorgesehenen Strafrahmens, der für Fahren in angetrunkenem Zustande neben Bussen bis zu Fr. 20'000.-- auch Gefängnisstrafen bis zu sechs Monaten vorsieht, ist gegen die streitige Busse nichts einzuwenden.</w:t>
      </w:r>
    </w:p>
    <w:p>
      <w:r>
        <w:rPr>
          <w:b/>
        </w:rPr>
        <w:t>E. 3</w:t>
      </w:r>
    </w:p>
    <w:p>
      <w:r>
        <w:t>Aus allen diesen Gründen stünde der Abweisung der Beschwerde nichts im Wege und könnte von einer Rückweisung der Sache an die Vorinstanz abgesehen werden, wenn diese in ihren Urteilserwägungen nicht zugleich die unrichtige Auffassung BGE 92 IV 4 S. 7 vertreten würde, das Verschulden sei nur "sekundär" im Rahmen der wirtschaftlichen Verhältnisse zu berücksichtigen, verbunden mit der Erklärung, die Strafe würde erheblich geringer ausfallen, wenn - wie es dem Grundgedanken des Gesetzes entspricht - primär auf das Verschulden abgestellt werden müsste. Obwohl nach dem Gesagten nicht einzusehen ist, weshalb unter den gegebenen, vom Obergericht zutreffend gewürdigten Umständen die dem Beschwerdeführer aufzuerlegende Einbusse geringer als Fr. 5'000.-- sein soll, ist es dem Kassationshof verwehrt, sein eigenes Ermessen an die Stelle desjenigen der kantonalen Richter zu setzen. Der Vorinstanz ist daher Gelegenheit zu geben, auf Grund der richtiggestellten Gesetzesauslegung neu zu entscheiden. Dispositiv Demnach erkennt der Kassationshof: Die Nichtigkeitsbeschwerde wird dahin gutgeheissen, dass das angefochtene Urteil aufgehoben und die Sache zur neuen Entscheidung im Sinne der Erwägungen an die Vorinstanz zurückgewiesen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