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191</w:t>
      </w:r>
    </w:p>
    <w:p>
      <w:r>
        <w:t>Bundesgericht (BGE), 1966-01-01, IT</w:t>
      </w:r>
    </w:p>
    <w:p>
      <w:r>
        <w:rPr>
          <w:b/>
        </w:rPr>
        <w:t xml:space="preserve">Quelle: </w:t>
      </w:r>
      <w:r>
        <w:t>https://mcp.opencaselaw.ch/entscheid/bge_BGE_92_IV_191</w:t>
      </w:r>
    </w:p>
    <w:p>
      <w:r>
        <w:t>FR: ATF 92 IV 191</w:t>
      </w:r>
    </w:p>
    <w:p>
      <w:r>
        <w:t>IT: DTF 92 IV 191</w:t>
      </w:r>
    </w:p>
    <w:p>
      <w:pPr>
        <w:pStyle w:val="Heading2"/>
      </w:pPr>
      <w:r>
        <w:t>Regeste</w:t>
      </w:r>
    </w:p>
    <w:p>
      <w:r>
        <w:t>Regeste Gültigkeit des Zollverschlusses als amtliches Siegel. Art. 41 ZG, 290 StGB. 1. Die Gültigkeit des Zollverschlusses ist an diejenige des zugehörigen Geleitscheins gebunden. Mit der Löschung des Geleitscheins bei der Ausfuhr oder dem Ablauf der darin für die Ausfuhr der Ware festgesetzten Frist verliert der Zollverschluss seine Kennzeichnungsfunktion und ermangelt deshalb eines der objektiven Merkmale des amtlichen Siegels im Sinne von Art. 290 StGB. 2. Durch Beamtenbestechung erwirkte betrügerische Löschung eines Geleitscheins. Ein solcher Verwaltungsakt ist nur dann nichtig, wenn er mit grundlegenden Fehlern behaftet ist, die aus dem Akt selbst ohne weiteres ersichtlich sind. Im vorliegenden Fall blosse Ungültigkeit.</w:t>
      </w:r>
    </w:p>
    <w:p>
      <w:r>
        <w:t>Regeste Validité de la fermeture douanière comme scellé officiel. Art. 41 LD, 290 CP. 1. La validité de la fermeture douanière est liée à celle de l'acquit-àcaution qui s'y rapporte. Dès que celui-ci est déchargé lors de l'exportation ou que le délai fixé pour l'exportation de la marchandise est écoulé, la fermeture douanière cesse d'avoir pour fonction de garantir l'identité de la marchandise; de ce fait, il lui manque un des éléments objectifs qui caractérisent le scellé officiel au sens de l'art. 290 CP. 2. Décharge frauduleuse d'un acquit-à-caution, obtenue par la corruption de fonctionnaires. Un tel acte administratifn'est absolument nul et de nul effet que s'il est entaché de vices fondamentaux, reconnaissables par un examen prima facie de l'acte lui-même. Dans l'espèce considérée: acte seulement annulable.</w:t>
      </w:r>
    </w:p>
    <w:p>
      <w:r>
        <w:t>Regesto Validità della chiusura doganale come sigillo ufficiale. Art. 41 LD, 290 CP. 1. La validità della chiusura doganale è vincolata a quella della relativa bolletta di cauzione. Dal momento che questa è stata scaricata in uscita o che è decorso il termine fissato per l'esportazione della merce, la chiusura doganale perde la sua funzione identificatrice e difetta, perciò, di uno degli elementi oggettivi del sigillo ufficiale nel senso dell'art. 290 CP. 2. Scarico fraudolento di una bolletta di cauzione, ottenuto mediante corruzione di funzionari. Tale atto amministrativo è nullo ed inefficace in modo assoluto solo se irrito da difetti fondamentali, ravvisabili prima facie dall'atto stesso. Nel caso particolare mera annullabilità.</w:t>
      </w:r>
    </w:p>
    <w:p>
      <w:pPr>
        <w:pStyle w:val="Heading2"/>
      </w:pPr>
      <w:r>
        <w:t>Erwägungen</w:t>
      </w:r>
    </w:p>
    <w:p>
      <w:r>
        <w:rPr>
          <w:b/>
        </w:rPr>
        <w:t>E. 1</w:t>
      </w:r>
    </w:p>
    <w:p>
      <w:r>
        <w:t>La Corte cantonale di cassazione, pur assolvendo Giannini, Balabanoglou, Mattiello, Tessari, Molina e Cavadini dall'imputazione di rottura di sigilli, non ha modificato la pena inflitta ai medesimi dalla Corte delle assise criminali, ritenendo che tale pena doveva considerarsi adeguata anche a prescindere dalla anzidetta imputazione. Essa ha ridotto, da 13 a 12 mesi, solo la pena inflitta a Brochetta, al quale ha inoltre accordato la sospensione condizionale. Il Procuratore pubblico ha nondimeno impugnato la sentenza cantonale anche a riguardo dei sei coaccusati suddetti. A tale proposito, il ricorso è irricevibile perchè, come sancito dalla giurisprudenza, il ricorso per cassazione non è dato contro i motivi della condanna, ma soltanto contro quest'ultima (RU 91 IV 172 e citazioni). Peraltro, il ricorrente non ha impugnato davanti alla corte di seconda istanza cantonale la pena che la corte di prima istanza, tenendo conto pure dell'imputazione di rottura di sigilli, aveva inflitto ai 6 coaccusati. Infine, anche in questa sede, il ricorrente chiede la conferma di detta condanna. Il ricorso deve perciò essere esaminato solo per quanto si riferisce a Brochetta.</w:t>
      </w:r>
    </w:p>
    <w:p>
      <w:r>
        <w:rPr>
          <w:b/>
        </w:rPr>
        <w:t>E. 2</w:t>
      </w:r>
    </w:p>
    <w:p>
      <w:r>
        <w:t>Secondo l'art. 290 CP, chi rompe, rimuove o rende inefficace un segno ufficiale, in modo particolare un sigillo ufficiale apposto dall'autorità per rinchiudere od identificare una cosa, è punito con la detenzione o con la multa. La chiusura doganale, effettuata di regola mediante piombi, ha lo scopo di impedire che, durante il tragitto fra il posto di BGE 92 IV 191 S. 196 controllo, il quale ha stabilito la condizionata imposizione fiscale, e quello di uscita, l'interessato sostituisca o comunque modifichi il contenuto del collo, allo scopo di immetterlo nel territorio doganale svizzero, conseguendo un indebito esonero dai tributi fiscali. Ciò stante, la chiusura doganale, fin tanto che è intesa a identificare ufficialmente la merce in transito, costituisce un sigillo ufficiale a'sensi dell'art. 290 CP. Essa conserva però questo suo carattere solo durante il periodo di validità della bolletta di cauzione che documenta i controlli di entrata e di uscita. Dal momento che la stessa è scaricata in uscita o è decorso il termine stabilito per l'esportazione della merce, la chiusura doganale perde la sua funzione identificatrice e difetta perciò di uno degli elementi oggettivi del sigillo ufficiale nel senso dell'art. 290 CP. Nel primo caso, il vettore, presentando la bolletta scaricata, può senz'altro esigere il rimborso dei tributi anticipati o la liberazione della relativa garanzia; nel secondo, l'imposizione fiscale diventa definitiva, per cui l'interessato può liberamente immettere la merce nel territorio doganale svizzero; a questa bisogna esso può evidentemente provvedere soltanto eliminando il sigillo divenuto inutile e può agire personalmente senza controllo delle autorità doganali, la sua bolletta di cauzione essendo divenuta priva di oggetto. Nel caso particolare è accertato che i piombi vennero rimossi da Brochetta o da persone che agivano alle dipendenze del medesimo, i due funzionari Reber e Beretta essendosi limitati a procedere allo indebito scarico delle bollette di cauzione. La data precisa della rimozione dei sigilli non è però stata accertata. a) La Corte cantonale ha ritenuto di non poter escludere che la rottura dei sigilli sia stata effettuata dopo il decorso del periodo di validità della bolletta di cauzione e ne ha conseguito che, ciò stante, applicando il principio "in dubio pro reo", si doveva concludere per l'insussistenza del reato. Le critiche rivolte dal ricorrente alla suesposta costatazione di fatto non sono ricevibili in sede di ricorso per cassazione (art. 273 cpv. 1 lett. b PPF). D'altronde, non si può ammettere che detta conclusione della Corte cantonale violi il diritto federale perchè, indipendentemente dalla validità o invalidità dello scarico della bolletta di cauzione, se, come devesi ritenere, i piombi sono stati rimossi dopo la decadenza della bolletta di cauzione e quindi quando avevano perso la loro funzione di identificare la merce, uno degli essenziali presupposti oggettivi dell'art. 290 CP non è adempiuto. Ne consegue che Brochetta, BGE 92 IV 191 S. 197 il quale, a tale riguardo, nulla ha aggiunto al suo precedente comportamento delittuoso, non può essere punito in base all'art. 290 CP. b) Comunque, anche se avesse rimosso o fatto rimuovere i piombi prima della suddetta scadenza, Brochetta potrebbe essere punito solo qualora lo scarico della bolletta di cauzione, indebitamente effettuato dai funzionari Reber e Beretta, potesse essere considerato nullo e di nessun effetto. Se tale non fosse il caso, lo scarico della bolletta di cauzione non essendo stato comunque revocato dall'autorità doganale prima della rimozione dei piombi, a questo momento i sigilli non avrebbero più avuto alcuna funzione identificatrice. Peraltro, indipendentemente dalla rimozione dei medesimi, nulla impediva a Brochetta di immediatamente esigere il rimborso dei tributi pagati o la liberazione della garanzia, producendo la bolletta di cauzione scaricata. L'amministrazione può normalmente funzionare solo se è riconosciuta ai suoi atti una speciale presunzione di validità; onde un atto amministrativo può essere considerato assolutamente nullo ed inefficace, solo in quanto irrito da difetti fondamentali, ravvisabili prima facie dall'atto stesso (RU 44 I 59/60 e citazioni; IMBODEN, Der nichtige Staatsakt, spec. p. 7, 84). Se tale non è il caso, l'atto amministrativo può essere annullabile ma non è assolutamente nullo, vale a dire inesistente. Questa regola si applica anche all'atto amministrativo surrettizio ("erschlichener Staatsakt") (W. JELLINECK: Der fehlerhafte Staatsakt p. 112; IMBODEN o.c. p. 129/30). La tesi esposta nel giudizio di prima istanza e sostenuta dal ricorrente, secondo cui chi - come in concreto Brochetta - ha collaborato alla formazione dell'atto difettoso non ha diritto di invocarne l'efficacia, non può essere condivisa: ad un determinato momento, l'atto amministrativo può essere soltanto o valido o annullabile o assolutamente nullo. Altre soluzioni non sono logicamente ammissibili. Lo scarico delle bollette di cauzione di cui si tratta era stato effettuato da funzionari doganali che dovevano, almeno dall'esterno, essere considerati competenti a effettuarli. I difetti inerenti al documento di scarico, specie quello di essere stato certificato da funzionari che non avevano controllato l'esportazione della merce, non erano evidentemente ravvisabili nella relativa dichiarazione. Questa, pur essendo chiaramente annullabile, non era pertanto priva di ogni effetto giuridico. BGE 92 IV 191 S. 198 Ne consegue che Brochetta, rimovendo dei sigilli privi di funzione identificatrice e quindi privi di oggetto, non può aver violato l'art. 290 CP. Egli ha portato a termine la sua azione delittuosa perfezionando i delitti di corruzione attiva e di complicità in falsità di cui agli art. 251 e 288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