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184</w:t>
      </w:r>
    </w:p>
    <w:p>
      <w:r>
        <w:t>Bundesgericht (BGE), 1966-01-01, DE</w:t>
      </w:r>
    </w:p>
    <w:p>
      <w:r>
        <w:rPr>
          <w:b/>
        </w:rPr>
        <w:t xml:space="preserve">Quelle: </w:t>
      </w:r>
      <w:r>
        <w:t>https://mcp.opencaselaw.ch/entscheid/bge_BGE_92_IV_184</w:t>
      </w:r>
    </w:p>
    <w:p>
      <w:r>
        <w:t>FR: ATF 92 IV 184</w:t>
      </w:r>
    </w:p>
    <w:p>
      <w:r>
        <w:t>IT: DTF 92 IV 184</w:t>
      </w:r>
    </w:p>
    <w:p>
      <w:pPr>
        <w:pStyle w:val="Heading2"/>
      </w:pPr>
      <w:r>
        <w:t>Regeste</w:t>
      </w:r>
    </w:p>
    <w:p>
      <w:r>
        <w:t>Regeste Art. 61 Abs. 1 StGB, Art. 102 Ziff. 2 SVG. 1. Angetrunkenheit am Steuer ist ein so häufiges und gefährliches Vergehen, dass die Veröffentlichung des Urteils zur Abschreckung sowohl des fehlbaren Fahrers wie der übrigen Strassenbenützer im öffentlichen Interesse geboten sein kann (Erw. 1). 2. Die Bestimmungen des Art. 102 Ziff. 2 SVG wollen den Art. 61 Abs. 1 StGB nicht einschränken, sondern vielmehr ergänzen, um zu verdeutlichen, wann auf dem Gebiete des Strassenverkehrsrechtes das öffentliche Interesse an der Veröffentlichung des Strafurteils schon von Gesetzes wegen zu bejahen ist (Erw. 2). 3. Dass Art. 102 Ziff. 2 lit. b SVG sich auf Rückfälle von Angetrunkenheit am Steuer bezieht, schliesst nicht aus, Vorstrafen wegen solcher Vergehen unter dem Gesichtspunkt von lit. a ebenfalls Rechnung zu tragen (Erw. 3). 4. Wer trunksüchtig ist, gehört überhaupt nicht ans Steuer (Erw. 4).</w:t>
      </w:r>
    </w:p>
    <w:p>
      <w:r>
        <w:t>Regeste Art. 61 al. 1 CP, art. 102 ch. 2 LCR. 1. Celui qui, étant pris de boisson, conduit un véhicule automobile, commet une infraction si fréquente et si dangereuse que la publication dujugement peut s'imposer, dans l'intérêt public, pour servir d'exemple, tant au conducteur fautif qu'aux autres usagers de la route (consid. 1). 2. Les prescriptions de l'art. 102 ch. 2 LCR tendent, non pas à restreindre la portée de l'art. 61 al. 1 CP, mais bien plutôt à le compléter aux fins de préciser quand, en matière de circulation routière, il faut admettre, de par la loi même, qu'il existe un intérêt public à la publication du jugement pénal (consid. 2). 3. L'art. 102 ch. 2 lit. b LCR vise le conducteur pris de boisson, en état de récidive, mais n'empêche pas de tenir compte, du point de vue de la lit. a, des condamnations précédemment subies pour des infractions de la même espèce (consid. 3). 4. Celui qui est atteint d'ivrognerie doit s'abstenir absolument de conduire (consid. 4).</w:t>
      </w:r>
    </w:p>
    <w:p>
      <w:r>
        <w:t>Regesto Art. 61 cpv. 1 CP, art. 102 num. 2 LCstr. 1. La guida d'un veicolo a motore in stato di ebrietà è un reato così frequente e pericoloso che la pubblicazione della sentenza può imporsi nell'interesse pubblico perchè serva d'esempio tanto alconducente colpevole quanto agli altri utenti della strada (consid. 1). 2. Le prescrizioni dell'art. 102 num. 2 LCStr. tendono non a limitare l'art. 61 cpv. 1 CP ma piuttosto a completarlo, allo scopo di precisare quando, in materia di circolazione stradale, bisogna ammettere l'esistenza, già in virtù della legge, d'un interesse pubblico alla pubblicazione della sentenza penale (consid. 2). 3. Il fatto che l'art. 102 num. 2 lett. b LCStr. si riferisce alla recidiva di guida in stato di ebrietà non impedisce che si tenga pure conto, dal profilo della lett. a, di precedenti condanne a causa di tali reati (consid. 3). 4. Chi è alcoolizzato deve astenersi assolutamente dal condurre (consid. 4).</w:t>
      </w:r>
    </w:p>
    <w:p>
      <w:pPr>
        <w:pStyle w:val="Heading2"/>
      </w:pPr>
      <w:r>
        <w:t>Erwägungen</w:t>
      </w:r>
    </w:p>
    <w:p>
      <w:r>
        <w:rPr>
          <w:b/>
        </w:rPr>
        <w:t>E. 1</w:t>
      </w:r>
    </w:p>
    <w:p>
      <w:r>
        <w:t>Nach Art. 61 Abs. 1 StGB ordnet der Richter die Veröffentlichung eines Strafurteils unter anderem dann an, wenn sie im öffentlichen Interesse geboten ist. Dieses Interesse an der Veröffentlichung kann darin bestehen, den Verurteilten mit einem zusätzlichen Mittel von der Wiederholung der Verfehlung abzuhalten und damit die Allgemeinheit in Zukunft vor ihm zu schützen. Es kann aber auch darin liegen, andere Personen von der Begehung gleicher oder ähnlicher Straftaten abzuschrecken. Diesfalls muss allerdings die allgemeine Abschreckung wegen der Häufigkeit, mit der Verbrechen oder Vergehen der betreffenden Art begangen werden, oder wegen der Umstände des einzelnen Falles in besonderem Masse nötig sein, da sonst das Gesetz die Veröffentlichung ohne Einschränkung zuliesse ( BGE 78 IV 15 ). Angetrunkene Fahrer schaffen für andere Verkehrsteilnehmer schwere Gefahren, weil ihre Leistungs- und Beurteilungsfähigkeit spätestens bei einem Blutalkoholgehalt von 0,8 Gewichtspromille, der heute als allgemeingültiger Grenzwert gilt, eindeutig abnimmt. Diese Tatsache ist ernst zu nehmen, zumal im heutigen Verkehr vielfach schon der nüchterne Fahrer überfordert ist ( BGE 90 IV 160 ff.). Angetrunkenheit am Steuer führt denn auch immer wieder zu schweren Unfällen. Dazu kommt, dass es sich dabei um ein sehr häufiges Vergehen handelt. Nach BGE 92 IV 184 S. 187 der Schweizerischen Kriminalstatistik mussten 1962 und 1964 jährlich über 5000, im Jahre 1963 sogar mehr als 6400 Fahrer wegen Führens eines Motorfahrzeuges in angetrunkenem Zustande bestraft werden. Zu bedenken ist ferner, dass das Vergehen in vielen Fällen, die der Strafverfolgung entgehen, ungeahndet bleibt. Es unterliegt daher keinem Zweifel, dass in Fällen von Verurteilungen die Veröffentlichung des Entscheides nicht bloss zur Abschreckung des fehlbaren Fahrers, sondern auch der übrigen Strassenbenützer im öffentlichen Interesse geboten sein kann.</w:t>
      </w:r>
    </w:p>
    <w:p>
      <w:r>
        <w:rPr>
          <w:b/>
        </w:rPr>
        <w:t>E. 2</w:t>
      </w:r>
    </w:p>
    <w:p>
      <w:r>
        <w:t>Den gleichen Zwecken dienen auch die Vorschriften des Art. 102 Ziff. 2 SVG . Sie bestimmen, dass der Richter die Veröffentlichung des Strafurteils nach Art. 61 StGB anordnen soll, wenn der Verurteilte besondere Rücksichtslosigkeit an den Tag gelegt hat (lit. a) oder wenn er innert fünf Jahren mehr als einmal wegen Führens eines Motorfahrzeuges in angetrunkenem Zustand bestraft wird (lit. b). In welchem Verhältnis diese Normen zu Art. 61 Abs. 1 StGB stehen, sagt das Strassenverkehrsgesetz nicht ausdrücklich, ergibt sich jedoch aus dessen Entstehungsgeschichte. Die Gerichte übten in der Anwendung des Art. 61 StGB grosse Zurückhaltung. Dieser Umstand veranlasste den Gesetzgeber, in Art. 102 Ziff. 2 SVG zwei Fälle von Verkehrsstrafhandlungen hervorzuheben, in denen er die öffentliche Blosstellung des Täters immer für gerechtfertigt hält und der Richter fortan davon auszugehen hat, dass die Öffentlichkeit an der Bekanntgabe des Urteils stets interessiert ist. Der Gesetzgeber wollte damit erreichen, dass angesichts der Leichtfertigkeit, mit der einzelne im Verkehr immer wieder Menschenleben aufs Spiel setzen, vom Abschreckungsmittel der Urteilsveröffentlichung vermehrt Gebrauch gemacht werde (s. Botschaft des Bundesrates zum Entwurf eines Bundesgesetzes über den Strassenverkehr vom 24. Juni 1955, BBl 1955 II 66). Daraus erhellt, dass die Bestimmungen des Art. 102 Ziff. 2 SVG den Art. 61 Abs. StGB nicht einschränken, sondern vielmehr ergänzen wollen, um zu verdeutlichen, wann auf dem Gebiete des Strassenverkehrsrechtes das öffentliche Interesse an der Veröffentlichung des Strafurteils schon von Gesetzes wegen zu bejahen ist, die Massnahme folglich angeordnet werden muss (vgl. SCHULTZ, Die Strafbestimmungen des SVG, S. 100 ff. und dort angeführtes Schrifttum). Fehlen die besonderen Voraussetzungen des SVG, so heisst BGE 92 IV 184 S. 188 das somit nicht, dass die Urteilsveröffentlichung dann auch gemäss StGB zu unterbleiben habe.</w:t>
      </w:r>
    </w:p>
    <w:p>
      <w:r>
        <w:rPr>
          <w:b/>
        </w:rPr>
        <w:t>E. 3</w:t>
      </w:r>
    </w:p>
    <w:p>
      <w:r>
        <w:t>a) Das Vorleben des Beschwerdegegners ist, wie insbesondere seine drei Vorstrafen wegen Angetrunkenheit am Steuer zeigen, schwer belastet (was näher ausgeführt wird). Dazu kommt, dass dem Zysset infolge dieser Vergehen jeweils der Führerausweis entzogen worden ist, das erste Mal für drei Monate, das zweite und dritte Mal für unbestimmte Zeit. Da er sich zur Abstinenz verpflichtete und fürsorgerisch betreuen liess, gab ihm das Strassenverkehrsamt 1961 nachsichtigerweise den Ausweis auf Begehren hin nochmals zurück, um ihm in seinem Beruf das Fortkommen zu erleichtern. Dagegen verweigerte es ihm 1964 einen Führerausweis für den Personentransport mit schweren Motorwagen, weil Zysset sich inzwischen wiederholt über die Abstinenzverpflichtung hinweggesetzt hatte. b) All diese Vorgänge vermochten den Beschwerdegegner am 26. August 1965, als er mit einem Personenwagen nach Bern fuhr, nicht davon abzuhalten, sich wieder sinnlos zu betrinken. Obschon er wusste, dass er nachher den Wagen führen werde, suchte er zwischen 16 Uhr und Mitternacht mindestens sechs Wirtshäuser auf, um sich dem Trunke hinzugeben. Vor einer beabsichtigten Heimfahrt als Automobilist einen solchen Pintenkehr zu unternehmen, war in hohem Masse verwerflich und verantwortungslos. Das gilt umsomehr, als Zysset im Verlaufe des Abends Gelegenheit genug hatte, sich nicht nur an die Ursachen und Folgen seiner frühern Vergehen zu erinnern, sondern sich auch über die schädlichen Auswirkungen übermässigen Alkoholgenusses auf die Fahrsicherheit und über die schweren Gefahren, die betrunkene Fahrzeugführer für andere Verkehrsteilnehmer schaffen, Rechenschaft zu geben. Er war sich übrigens nach seinen eigenen Erfahrungen durchaus im klaren, dass er im angetrunkenen Zustand kein Motorfahrzeug lenken durfte. Wenn er sich dennoch erheblich betrank und mit einem Alkoholgehalt von 2,22 Promille, d.h. einem ziemlich schweren Rausch, ans Steuer zu setzen wagte, um mit dem Wagen nach Münsingen zu fahren, so zeugt das von einer besonders rücksichtslosen und gewissenlosen Einstellung andern Strassenbenützern gegenüber. Dass er bereits nach kurzer Fahrt von der Polizei angehalten wurde, hilft über diese Einstellung des Beschwerdegegners BGE 92 IV 184 S. 189 nicht hinweg. Wie die Vorinstanz selber feststellt, hatte Zysset die Absicht, nach Hause zu fahren, wobei er andere Verkehrsteilnehmer wegen seines Rauschzustandes vor allem auf der gefährlichen Strecke von Bern nach Münsingen schwer gefährdet hätte. Dazu kam es aber nur deshalb nicht, weil die Polizei rechtzeitig auf ihn aufmerksam wurde. Das Obergericht geht auch insofern fehl, als es glaubt, den Vorfall vom 26. August 1965 losgelöst von den früheren Fällen würdigen zu müssen. Es ist eine höchst natürliche, ja gewollte Wirkung, dass Strafen und Massnahmen mit all ihren Folgen dem Fehlbaren für immer zur Warnung werden. An solchen Warnungen hat es dem Beschwerdegegner gegenüber wahrlich nicht gefehlt. c) Die Vorinstanz meint freilich, die wiederholte Begehung spiele für die Urteilspublikation nur in dem Falle eine Rolle, den Art. 102 Ziff. 2 lit. b SVG regle, da diese Bestimmung sonst überflüssig würde und die darin enthaltene Frist von fünf Jahren keinen Sinn mehr hätte. Sie irrt. Art. 102 Ziff. 2 lit. b SVG setzt nicht voraus, dass der Fahrer rücksichtslos handle. Selbst eine zweimalige Angetrunkenheit am Steuer braucht nicht notwendig besondere Rücksichtslosigkeit zu offenbaren. Dies wird zum Beispiel dann zu verneinen sein, wenn ein nur leicht angetrunkener Motorfahrzeugführer im Bewusstsein seines Zustandes äusserst vorsichtig fährt, um irgendwelchen Unfallzu vermeiden. Auch in einem solchen Falle hat der Richter jedoch die Urteilspublikation anzuordnen, wenn der Fahrer innert fünf Jahren rückfällig geworden ist. Legt der Motorfahrzeugführer dagegen eine besondere Rücksichtslosigkeit an den Tag, so ist die Massnahme gemäss Art. 102 Ziff. 2 lit. a SVG schon bei erstmaliger Begehung und ohne Rücksicht darauf, ob und allenfalls in welchem Grade er angetrunken sei, anzuordnen ( BGE 91 IV 35 f.). Schon daraus erhellt, dass die beiden Bestimmungen verschiedene Fälle regeln. An ihrer selbständigen Bedeutung ändert auch nichts, dass lit. b sich auf Rückfälle von Angetrunkenheit innert fünf Jahren bezieht. Das schliesst nicht aus, Vorstrafen wegen solcher Vergehen unter dem Gesichtspunkt von lit. a ebenfalls Rechnung zu tragen. Wie sehr dies sachlich gerechtfertigt sein kann, zeigt gerade der vorliegende Fall. Wer sich, wie Zysset, erneut in einem Rauschzustand ans Steuer setzt, um sich mit dem Wagen auf eine verkehrsreiche Strasse zu begeben, schon früher mehrere Warnungen in den Wind geschlagen BGE 92 IV 184 S. 190 und das Vertrauen, das ihm durch mehrmalige Rückgabe des Führerausweises bekundet wurde, wiederholt schwer enttäuscht hat, der verdient den Vorwurf besonderer Rücksichtslosigkeit auch dann, wenn seine letzte Verurteilung wegen Betrunkenheit am Steuer mehr als fünf Jahre zurückliegt. Es besteht, wie der Beschwerdeführer mit Recht einwendet, kein innerer Grund, ihn anders zu behandeln als denjenigen, der sich bloss einmal schwer vergeht. Ebensowenig ist ersichtlich, weshalb der Beschwerdegegner, der innert acht Jahren nun zum vierten Mal wegen Fahrens in angetrunkenem Zustand zu einer Freiheitsstrafe verurteilt worden ist, milder beurteilt werden sollte als ein Fahrer, der wegen des gleichen Vergehens innert fünf Jahren ein zweites Mal bestraft wird.</w:t>
      </w:r>
    </w:p>
    <w:p>
      <w:r>
        <w:rPr>
          <w:b/>
        </w:rPr>
        <w:t>E. 4</w:t>
      </w:r>
    </w:p>
    <w:p>
      <w:r>
        <w:t>Der angefochtene Entscheid, der auf der Annahme beruht, dem Beschwerdegegner könne keine besondere Rücksichtslosigkeit vorgeworfen werden, ist daher aufzuheben und die Sache zur Anordnung der Urteilsveröffentlichung gemäss Art. 102 Ziff. 2 lit. a SVG an die Vorinstanz zurückzuweisen. Die Voraussetzungen zur Veröffentlichung wären übrigens auch gemäss Art. 61 Abs. 1 StGB gegeben. Dass Zysset durch die Massnahme unter Umständen hart getroffen wird, hätte er rechtzeitig bedenken sollen; die gesetzlichen Folgen seines Verhaltens können ihm deswegen nicht erspart werden. Und seine Neigung zum Trinken als psychische Krankheit abtun zu wollen, steht dem Beschwerdegegner, nachdem er sich immer wieder um die Rückgabe des Führerausweises bemüht hat, schlecht an. Wenn er trunksüchtig ist, gehörte er sowieso nicht ans Steuer. Dispositiv Demnach erkennt der Kassationshof: Die Nichtigkeitsbeschwerde wird gutgeheissen, das angefochtene Urteil aufgehoben, soweit es die Urteilspublikation verweigert, und die Sache zur Anordnung dieser Massnahme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