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156</w:t>
      </w:r>
    </w:p>
    <w:p>
      <w:r>
        <w:t>Bundesgericht (BGE), 1966-01-01, DE</w:t>
      </w:r>
    </w:p>
    <w:p>
      <w:r>
        <w:rPr>
          <w:b/>
        </w:rPr>
        <w:t xml:space="preserve">Quelle: </w:t>
      </w:r>
      <w:r>
        <w:t>https://mcp.opencaselaw.ch/entscheid/bge_BGE_92_IV_156</w:t>
      </w:r>
    </w:p>
    <w:p>
      <w:r>
        <w:t>FR: ATF 92 IV 156</w:t>
      </w:r>
    </w:p>
    <w:p>
      <w:r>
        <w:t>IT: DTF 92 IV 156</w:t>
      </w:r>
    </w:p>
    <w:p>
      <w:pPr>
        <w:pStyle w:val="Heading2"/>
      </w:pPr>
      <w:r>
        <w:t>Regeste</w:t>
      </w:r>
    </w:p>
    <w:p>
      <w:r>
        <w:t>Regeste 1. Art. 351 StGB, Art. 264 BStP. Ist die Tat nur auf Antrag strafbar, so kann der Antragsteller die Anklagekammer auch anrufen, wenn kein Gerichtsstandskonflikt vorliegt (Erw. 1). 2. Art. 348 Abs. 1 geht den Bestimmungen des Art. 346 Abs. 1 StGB nach; er gilt nur, wenn kein Erfolgsort in der Schweiz liegt, der Täter aber dennoch dem schweizerischen Gesetz unterworfen ist (Erw. 2). 3. Art. 220 StGB. Gerichtsstand bei Vorenthalten von Unmündigen (Erw. 3).</w:t>
      </w:r>
    </w:p>
    <w:p>
      <w:r>
        <w:t>Regeste 1. Art. 351 CP, art. 264 PPF. Lorsque l'acte n'est punissable que sur plainte, le plaignant peut aussi saisir la Chambre d'accusation lorsqu'il n'y a point de conflit de compétence (consid. 1). 2. L'art. 348 al. 1 est subordonné à l'art. 346 al. 1 CP; il ne s'applique que lorsqu'il n'existe point, en Suisse, de lieu où le résultat s'est produit et que, néanmoins, l'auteur est soumis à la loi suisse (consid. 2). 3. Art. 220 CP. For en cas d'enlèvement de mineurs (consid. 3).</w:t>
      </w:r>
    </w:p>
    <w:p>
      <w:r>
        <w:t>Regesto 1. Art. 351 CP, art. 264 PPF. Se l'atto è perseguibile soltanto a querela di parte, il querelante puó pure adire la Camera di accusa quando non ci sia conflitto di competenza (consid. 1). 2. L'art. 348 cpv. 1 è subordinato all'art. 346 cpv. 1 CP; esso si applica soltanto quando non esiste in Svizzera il luogo dove si è verificato l'evento, ma, ciononostante, l'autore soggiace alla legge svizzera (consid. 2). 3. Art. 220 CP. Foro in caso di sottrazione di minorenne (consid. 3).</w:t>
      </w:r>
    </w:p>
    <w:p>
      <w:pPr>
        <w:pStyle w:val="Heading2"/>
      </w:pPr>
      <w:r>
        <w:t>Erwägungen</w:t>
      </w:r>
    </w:p>
    <w:p>
      <w:r>
        <w:rPr>
          <w:b/>
        </w:rPr>
        <w:t>E. 1</w:t>
      </w:r>
    </w:p>
    <w:p>
      <w:r>
        <w:t>Das Entziehen und Vorenthalten von Unmündigen ist nur auf Antrag strafbar. X. ist Antragsteller. Ein solcher ist grundsätzlich berechtigt, den Gerichtsstand durch die Anklagekammer des Bundesgerichtes bestimmen zu lassen. Die Anklagekammer hat ihm diese in Art. 264 BStP nicht ausdrücklich erwähnte Befugnis in Anlehnung an den Entscheid in Sachen Pedler ( BGE 73 IV 55 ) zunächst bei negativen Gerichtsstandskonflikten zuerkannt und später entschieden, dass er sie auch bei einem positiven Kompetenzkonflikt habe ( BGE 88 IV 143 ). Im vorliegenden Fall liegt weder ein negativer noch ein positiver Kompetenzkonflikt vor, denn bis jetzt hat nur der Kanton Appenzell-I. Rh. zur Frage der Zuständigkeit Stellung genommen. Trotzdem rechtfertigt es sich auch hier, das in Art. 270 BGE 92 IV 156 S. 158 Abs. 1 in Verbindung mit Art. 268 Ziff. 2 BStP vorgesehene Recht des Antragstellers, Einstellungsbeschlüsse letzter Instanz mit der Nichtigkeitsbeschwerde beim Kassationshof anzufechten, durch die Befugnis zur Anrufung der Anklagekammer zu ersetzen. Damit es überhaupt zu einem Kompetenzkonflikt kommen könnte, müsste X. zuerst in der vom kantonalen Prozessrecht vorgeschriebenen Form in einem weiteren Kanton Strafantrag stellen ( BGE 73 IV 207 ). Dieser Umweg wäre nicht sinnvoll. Da Art. 264 BStP den Beschuldigten nicht nur bei Gerichtsstandskonflikten sondern schlechthin legitimiert, die Anklagekammer anzurufen, ist nicht zu ersehen, weshalb die Legitimation des Antragstellers auf Fälle von Gerichtsstandskonflikten beschränkt sein sollte (vgl. COUCHEPIN, ZStrR 63 115; WAIBLINGER, ZBJV 85 489).</w:t>
      </w:r>
    </w:p>
    <w:p>
      <w:r>
        <w:rPr>
          <w:b/>
        </w:rPr>
        <w:t>E. 2</w:t>
      </w:r>
    </w:p>
    <w:p>
      <w:r>
        <w:t>Strafbare Handlungen sind grundsätzlich am Orte der Ausführung zu verfolgen ( Art. 346 Abs. 1 Satz 1 StGB ). Befindet sich dieser im Auslande, so sind jedoch die Behörden des Ortes zuständig, wo in der Schweiz der Erfolg eingetreten ist oder eintreten sollte ( Art. 346 Abs. 1 Satz 2 StGB ). Das ist ein Ausfluss des Satzes, dass die im Auslande ausgeführten Verbrechen und Vergehen ausser am Orte der Ausführung auch da als verübt gelten, wo der Erfolg eingetreten ist oder hätte eintreten sollen ( Art. 7 StGB ). Art. 348 Abs. 1 StGB , der die im Auslande verübte strafbare Handlung am schweizerischen Wohnsitz des Täters und subsidiär an seinem Heimatort verfolgt wissen will, geht diesen Bestimmungen nach. Er gilt nur, wenn kein Erfolgsort in der Schweiz liegt, der Täter aber gemäss den Bestimmungen der Art. 4-6 StGB dennoch dem schweizerischen Gesetz unterworfen ist. Daher ist unerheblich, ob die Beschuldigten am 27. Juli 1966 schon in Vaduz entschlossen waren, dem Gesuchsteller die beiden Kinder nicht mehr zurückzugeben, und ob sie ihm diese schon dadurch im Sinne des Art. 220 StGB entzogen haben, dass sie sie zwecks Ausübung des vereinbarten Besuchsrechtes in Vaduz abholten, oder erst dadurch, dass sie die Kinder nach Ablauf der Besuchsfrist, also in einem Zeitpunkt, wo sie sich wahrscheinlich bereits in der Schweiz befanden, nicht zurückbrachten. Der Erfolg der Tat ist auf alle Fälle in der Schweiz eingetreten, nämlich im Kanton Appenzell-I.Rh., in den die Kinder verbracht wurden und in dem Frau X. sie verwahrte. BGE 92 IV 156 S. 159</w:t>
      </w:r>
    </w:p>
    <w:p>
      <w:r>
        <w:rPr>
          <w:b/>
        </w:rPr>
        <w:t>E. 3</w:t>
      </w:r>
    </w:p>
    <w:p>
      <w:r>
        <w:t>Übrigens macht sich nach Art. 220 StGB nicht nur strafbar, wer die unmündige Person dem Inhaber der elterlichen Gewalt entzieht, sondern auch, wer sie ihm vorenthält, sie z.B. im Zeitpunkt, wo er sie dem Inhaber der elterlichen Gewalt zurückgeben sollte, bei sich behält (vgl. BGE 80 IV 70 , BGE 91 IV 232 ). Gerade das wirft der Gesuchsteller den Beschuldigten in der Strafanzeige vor, indem er geltend macht, sein Anwalt habe sie am 28. Juli 1966 erfolglos aufgefordert, die beiden Knaben zurückzugeben. Die vorgeworfene Unterlassung ist überall da ausgeführt, wo die Beschuldigten hätten tätig werden müssen, um der Aufforderung zu entsprechen, namentlich also im Kanton Appenzell-I.Rh., wo die Knaben verweilten. Auch unter diesem Gesichtspunkt befindet sich daher der Gerichtsstand im Kanton Appenzell-I.Rh.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