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143</w:t>
      </w:r>
    </w:p>
    <w:p>
      <w:r>
        <w:t>Bundesgericht (BGE), 1966-01-01, DE</w:t>
      </w:r>
    </w:p>
    <w:p>
      <w:r>
        <w:rPr>
          <w:b/>
        </w:rPr>
        <w:t xml:space="preserve">Quelle: </w:t>
      </w:r>
      <w:r>
        <w:t>https://mcp.opencaselaw.ch/entscheid/bge_BGE_92_IV_143</w:t>
      </w:r>
    </w:p>
    <w:p>
      <w:r>
        <w:t>FR: ATF 92 IV 143</w:t>
      </w:r>
    </w:p>
    <w:p>
      <w:r>
        <w:t>IT: DTF 92 IV 143</w:t>
      </w:r>
    </w:p>
    <w:p>
      <w:pPr>
        <w:pStyle w:val="Heading2"/>
      </w:pPr>
      <w:r>
        <w:t>Regeste</w:t>
      </w:r>
    </w:p>
    <w:p>
      <w:r>
        <w:t>Regeste Art. 90 Ziff. 2 Abs. 1 SVG ist nur auf rücksichtsloses oder sonst schwerwiegend regelwidriges Verhalten anwendbar. Das setzt schweres Verschulden, bei fahrlässigem Handeln grobe Fahrlässigkeit voraus (Erw. 3).</w:t>
      </w:r>
    </w:p>
    <w:p>
      <w:r>
        <w:t>Regeste L'art. 90 ch. 2 al. 1 LCR ne s'applique que lorsque l'auteur s'est comporté sans égards pour autrui ou a gravement violé les règles de la circulation. Il faut donc que la faute, éventuellement la négligence, soit grave (consid. 3).</w:t>
      </w:r>
    </w:p>
    <w:p>
      <w:r>
        <w:t>Regesto L'art. 90 num. 2 cpv. 1 LCStr. si applica solo quando l'autore si è comportato senza riguardo per gli altri o ha gravemente violato le norme della circolazione. Occorre dunque che la colpa, eventualmente la negligenza, sia grave (consid. 3).</w:t>
      </w:r>
    </w:p>
    <w:p>
      <w:pPr>
        <w:pStyle w:val="Heading2"/>
      </w:pPr>
      <w:r>
        <w:t>Erwägungen</w:t>
      </w:r>
    </w:p>
    <w:p>
      <w:r>
        <w:rPr>
          <w:b/>
        </w:rPr>
        <w:t>E. 1</w:t>
      </w:r>
    </w:p>
    <w:p>
      <w:r>
        <w:t>Die einfache Übertretung von Verkehrsregeln ist nach Ziff. 1 von Art. 90 SVG mit Haft oder Busse zu bestrafen. Der Vergehenstatbestand von Ziff. 2 Abs. 1 des Art. 90 ist nur erfüllt durch eine grobe Verletzung von Verkehrsregeln, die eine ernstliche, konkrete oder abstrakte Gefahr für die Sicherheit anderer verursacht. Beide Ziffern sind auch bei fahrlässiger Begehung anwendbar ( BGE 90 IV 152 ). BGE 92 IV 143 S. 145</w:t>
      </w:r>
    </w:p>
    <w:p>
      <w:r>
        <w:rPr>
          <w:b/>
        </w:rPr>
        <w:t>E. 2</w:t>
      </w:r>
    </w:p>
    <w:p>
      <w:r>
        <w:t>Es ist unangefochten, dass Hürlimann gegen die Verkehrsregeln der Art. 29, 31 Abs. 1, 32 Abs. 1 sowie 34 Abs. 1 und 2 SVG verstossen hat. Die Gefahr, die er dadurch für Leib und Gesundheit anderer hervorrief, war eine ernstliche, zwang er doch den Anhängerzugführer Möckli zu brüskem Bremsen und stiess er frontal mit dessen Fahrzeug zusammen.</w:t>
      </w:r>
    </w:p>
    <w:p>
      <w:r>
        <w:rPr>
          <w:b/>
        </w:rPr>
        <w:t>E. 3</w:t>
      </w:r>
    </w:p>
    <w:p>
      <w:r>
        <w:t>Wann eine Verletzung der Verkehrsregeln grob ist, sagt das Gesetz nicht. Wesentliche Hinweise für die Auslegung gibt die Entstehungsgerichte. Der erste Entwurf des heutigen Art. 90 Ziff. 2 Abs. 1 SVG bedrohte mit Gefängnis, "wer in rücksichtsloser Weise die Verkehrsregeln verletzt oder andere gefährdet" (Antrag Kistler, Prot. Komm. NR S. 368). Die nationalrätliche Kommission sprach in einer ersten Fassung in ähnlicher Weise von der Verletzung von Verkehrsregeln "ohne Rücksicht auf die Sicherheit anderer" (Prot. S. 386). Erst in einer späteren Kommissionssitzung wurde der Wortlaut beschlossen, welcher in Art. 90 Ziff. 2 Abs. 1 SVG Gesetz geworden ist. Pfister teilte jedoch in seinen Erläuterungen in Übereinstimmung mit Nationalrat Kistler mit, dass mit dieser Bestimmung nur schwere Fälle erfasst werden sollten, weshalb die Wendungen grobe Verletzung von Verkehrsregeln und ernstliche Gefahr gewählt worden seien (Prot. S. 423). Im Nationalrat führte der deutsche Berichterstatter Eggenberger aus, der Antrag der Kommission wolle im Sinne des Vorschlags Kistler den rücksichtslosen Verkehrssünder schärfer bestrafen (StenBull NR 1957 S. 269). Auf die zunächst ablehnende Haltung des Ständerates, der die unklare Formulierung der Vorschrift und ihre Unterbringung im SVG statt bei Art. 237 StGB beanstandete (StenBull StR 1958 S. 131 f.), antworteten Eggenberger sowie der französische Berichterstatter Guinand im Nationalrat, die Bestimmung sei notwendig, um die schweren Widerhandlungen im Strassenverkehr richtig erfassen zu können (StenBull NR 1958 S. 472 f.). Danach muss also dem Art. 90 Ziff. 2 Abs. 1 SVG ein rücksichtsloses oder sonst schwerwiegend regelwidriges Verhalten zugrundeliegen. Das setzt ein schweres Verschulden voraus, bei fahrlässigem Handeln grobe Fahrlässigkeit. Eine andere Auslegung ist nicht ersichtlich. Insbesondere kann nicht auf die Natur der verletzten Verkehrsregel abgestellt werden, etwa darauf, ob es sich um eine grundlegende Vorschrift über das Verhalten im Strassenverkehr handle. Eine BGE 92 IV 143 S. 146 solche Interpretation findet in dem in dieser Hinsicht klaren Wortlaut des Art. 90 Ziff. 2 Abs. 1 SVG keine Stütze. Danach kann dieser Strafnorm vielmehr die Verletzung irgendeiner Verkehrsregel zugrundeliegen. Hingegen muss der Verstoss im konkreten Fall besonders schwer gewesen sein (ebenso SCHULTZ, Strafbestimmungen des SVG S. 162 f.). Je nach den Umständen und damit dem Verschulden kann etwa unerlaubtes Parkieren ein schwerer Verstoss, anderseits das Überfahren einer Sicherheitslinie eine leichte Regelwidrigkeit sein. Einer zu weiten Ausdehnung des Anwendungsbereichs von Ziff. 2 des Art. 90 SVG steht das zusätzliche Erfordernis der ernstlichen Gefährdung der Sicherheit anderer entgegen. So können unnötige und übermässige Warnsignale zur Nachtzeit eine schwere Widerhandlung gegen Art. 40 SVG darstellen. Sie fallen indessen nur dann unter Ziff. 2 von Art. 90, wenn durch sie eine ernstliche Gefahr für die Sicherheit anderer geschaffen wurde. Die Beschwerdeführerin wendet ein, wenn schon Art. 90 Ziff. 2 Abs. 1 SVG bei fahrlässiger Begehung anwendbar sei, so sei nicht einzusehen, weshalb das nur bei grober Fahrlässigkeit möglich sein sollte. Es sei der zu einer bestimmten Subsumierung führende objektive Tatbestand streng vom Grad des Verschuldens zu trennen. Eine fahrlässige Tötung z.B. sei als solche zu bestrafen, wenn überhaupt ein Verschulden und der Kausalzusammenhang zum Tod gegeben seien, gleichgültig ob das Verschulden ein schweres oder nur ein ganz leichtes war. Das hätte zur Folge, dass sich die Ziff. 2 des Art. 90 SVG von der Ziff. 1 nur noch durch den Erfolg, die ernstliche Gefährdung anderer, unterscheiden würde. Damit wird übersehen, dass in Art. 90 Ziff. 2 SVG , im Gegensatz zur Ziff. 1 wie zum Tatbestand der fahrlässigen Tötung des Art. 117 StGB , das deliktische Verhalten qualifiziert umschrieben, eine grobe Verletzung der Verkehrsregeln gefordert wird. Dieses Tatbestandserfordernis kann nicht einfach ausser Acht gelassen werden. Wenn leichte Fahrlässigkeit genügte, würde Art. 90 Ziff. 2 Abs. 1 in bezug auf die Qualifikation dem Formaldelikt angenähert. Mit dem Ausdruck grobe Verletzung verlangt das Gesetz somit eine grobe Verletzung der Sorgfaltspflicht.</w:t>
      </w:r>
    </w:p>
    <w:p>
      <w:r>
        <w:rPr>
          <w:b/>
        </w:rPr>
        <w:t>E. 4</w:t>
      </w:r>
    </w:p>
    <w:p>
      <w:r>
        <w:t>Dazu, dass Hürlimann in der Kurve nicht rechts, namentlich nicht rechts der Sicherheitslinie gefahren und deshalb mit Möckli zusammengestossen ist, kam es nach den Feststellungen der Vorinstanz einerseits, weil er ein wegen eines BGE 92 IV 143 S. 147 abgefahrenen Pneus nicht betriebssicheres Fahrzeug führte. Dieser Mangel war ihm indes nicht bekannt. Wie das Obergericht zutreffend ausführt, fällt ihm in diesem Punkt als Fahrlässigkeit lediglich zur Last, dass er vor der ersten Fahrt mit dem Wagen diesen nicht gründlich auf den Zustand der Pneus untersucht hatte. Diese Unterlassung wiegt insofern nicht schwer, als Hürlimann den Wagen kurz zuvor von seinem Einkäufer übernommen hatte, der ihn gekauft und gefahren hatte. Anderseits trifft den Beschwerdegegner der Vorwurf, dass er entgegen Art. 32 Abs. 1 SVG die Geschwindigkeit nicht den Umständen anpasste, nämlich an seine Unvertrautheit mit dem Wagen und an dessen Besonderheiten der Hecklastigkeit und des automatischen Getriebes. Seine Geschwindigkeit von 70-80 km/h war jedoch, wie sich aus den obergerichtlichen Feststellungen ergibt, nicht in hohem Masse unangepasst. Sein Verschulden wiegt somit nicht schwer. Es fällt ihm nicht grobe, sondern lediglich leichte Fahrlässigkeit zur Last. Das strafbare Verhalten des Beschwerdegegners ist deshalb mitRecht nach Art. 90 Ziff. 1 SVG geahndet worden, und die Nichtigkeitsbeschwerde ist abzuweisen.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