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243</w:t>
      </w:r>
    </w:p>
    <w:p>
      <w:r>
        <w:t>Bundesgericht (BGE), 1966-01-01, FR</w:t>
      </w:r>
    </w:p>
    <w:p>
      <w:r>
        <w:rPr>
          <w:b/>
        </w:rPr>
        <w:t xml:space="preserve">Quelle: </w:t>
      </w:r>
      <w:r>
        <w:t>https://mcp.opencaselaw.ch/entscheid/bge_BGE_92_II_243</w:t>
      </w:r>
    </w:p>
    <w:p>
      <w:r>
        <w:t>FR: ATF 92 II 243</w:t>
      </w:r>
    </w:p>
    <w:p>
      <w:r>
        <w:t>IT: DTF 92 II 243</w:t>
      </w:r>
    </w:p>
    <w:p>
      <w:pPr>
        <w:pStyle w:val="Heading2"/>
      </w:pPr>
      <w:r>
        <w:t>Regeste</w:t>
      </w:r>
    </w:p>
    <w:p>
      <w:r>
        <w:t>Regeste Anfechtung von Generalversammlungsbeschlüssen einer Aktiengesellschaft. Art. 706 OR. 1. Streitwert (Erw. 1 b) 2. Genehmigung einer Bilanz, die möglicherweise Minderheitsaktionäre schädigt, weil sie eine in ihrem Bestand zweifelhafte, zu Gunsten von Mehrheitsaktionären oder von mit solchen im Einvernehmen stehenden Dritten begründete Schuld enthält: Die Anfechtungsklage gegenüber den Beschlüssen der Generalversammlung ist unzulässig, wenn sie sich auf einen Sachverhalt stützt, der Gegenstandeiner Verantwortlichkeitsklage gegen die Gesellschaftsorgane bilden kann (Erw. 2). 3. Wirkung des Rückzugs oder des Verzichts in bezug auf eine beim Nachlassvertrag im Konkurs in den Kollokationsplan aufgenommene Forderung, wenn die auf diese entfallende Dividende nach der Genehmigung des Nachlassvertrags in der Bilanz der Gesellschaft wieder erscheint (Erw. 3).</w:t>
      </w:r>
    </w:p>
    <w:p>
      <w:r>
        <w:t>Regeste Droit d'attaquer les décisions de l'assemblée générale d'une société anonyme. Art. 706 CO. 1. Valeur litigieuse (consid. 1 b). 2. Approbation d'un bilan qui peut léser des actionnaires minoritaires parce qu'une dette y a été inscrite qui est constituée en faveur de sociétaires majoritaires ou de tiers agissant en collusion avec eux, dette dont l'existence est douteuse: est irrecevable l'action en annulation des décisions de l'assemblée générale lorsqu'elle est fondée sur un état de fait qui peut donner lieu à une action en responsabilité contre les organes de la société (consid. 2). 3. Effet du retrait ou de la renonciation visant une créance portée à l'état de collocation dans une procédure concordataire après faillite, lorsque le dividende afférent à cette créance apparaît au bilan de la société après l'homologation (consid. 3).</w:t>
      </w:r>
    </w:p>
    <w:p>
      <w:r>
        <w:t>Regesto Diritto di contestare le deliberazioni dell'assemblea generale. Art. 706 CO. 1. Valore litigioso (consid. 1 b). 2. Approvazione d'un bilancio che può ledere gli azionisti minoritari perchè contiene un debito di dubbia esistenza costituito a favore di soci maggioritari o di terzi che stanno in collusione con essi: l'azione intesa a far annullare le deliberazioni dell'assemblea generale è irricevibile quando è fondata su fatti che possono formare oggetto di un'azione di responsabilità contro gli organi della società (consid. 2). 3. Effetto del ritiro o della rinuncia relativi ad un credito contenuto nella graduatoria, in una procedura concordataria susseguente alla dichiarazione di fallimento, quando il dividendo spettante a questo credito appare nel bilancio della società dopo l'omologazione (consid. 3).</w:t>
      </w:r>
    </w:p>
    <w:p>
      <w:pPr>
        <w:pStyle w:val="Heading2"/>
      </w:pPr>
      <w:r>
        <w:t>Erwägungen</w:t>
      </w:r>
    </w:p>
    <w:p>
      <w:r>
        <w:rPr>
          <w:b/>
        </w:rPr>
        <w:t>E. 1</w:t>
      </w:r>
    </w:p>
    <w:p>
      <w:r>
        <w:t>a) La Cour cantonale a dissous la société intimée. Faute d'un recours sur ce point, cette décision est définitive. b) Déterminée par les droits contestés dans la dernière instance cantonale selon les conclusions des parties (art. 46 OJ), la valeur litigieuse est donnée, car l'intérêt de la société (RO 75 II 152; 66 II 48 ; 54 II 19 ) consistait dans la libération du solde des actions du recourant (7500 fr.) et l'élimination au passif du bilan d'un montant de 18 925 fr. 20.</w:t>
      </w:r>
    </w:p>
    <w:p>
      <w:r>
        <w:rPr>
          <w:b/>
        </w:rPr>
        <w:t>E. 2</w:t>
      </w:r>
    </w:p>
    <w:p>
      <w:r>
        <w:t>Selon l'art. 706 CO, chaque actionnaire peut attaquer en justice les décisions de l'assemblée générale qui violent la loi ou les statuts, ou enfreignent un principe non écrit, telle l'égalité de traitement des actionnaires (RO 91 II 300; 69 II 248 sv.). On ne saurait dès lors attaquer l'approbation du bilan que si ce dernier est établi en violation de la loi ou des statuts (RO 81 II 463 sv.). Il en est ainsi, par exemple, lorsque le bilan (y compris l'état des dettes) n'est pas sincère ni complet, clair et facile à consulter (art. 662 al. 2, 957 et 959 CO), quand un rapport des contrôleurs n'a pas été soumis à l'assemblée, si enfin le bénéfice n'a pas été exactement indiqué au détriment de certains actionnaires ou encore si la répartition décidée est contraire à la loi ou aux statuts (RO 72 II 296; 54 II 23 sv.). Tel n'est pas le cas, en revanche, lorsqu'on prétend que le bénéfice eût été plus élevé (ou la perte moins lourde) si l'administration avait traité différemment certaines transactions, notamment si elle n'avait pas conclu des contracts au-dessous des prix du marché avec les actionnaires de la majorité au dam de la société et des actionnaires minoritaires: une demande fondée sur l'art. 706 CO est irrecevable lorsqu'elle repose sur un état de fait qui pourrait donner lieu à une action en responsabilité contre les organes de la société (art. 754 CO), même si le demandeur prétend n'être pas en mesure d'imputer à quelqu'un une faute déterminée ni d'administrer la preuve d'un BGE 92 II 243 S. 247 dommage, et qu'il entend seulement établir au préalable les circonstances qui mettront en lumière la responsabilité de certains membres des organes de la société. La présente espèce n'incline pas à modifier cette jurisprudence. Sans doute, la solution qui en découle peut paraître moins évidente au premier abord lorsque l'inscription d'une dette au bilan lèse des actionnaires minoritaires parce que l'obligation est constituée en faveur de sociétaires majoritaires ou de tiers qui agissent en collusion avec eux. En effet, l'action prévue par l'art. 706 CO tend principalement à protéger l'actionnaire contre un abus de la majorité (BÜRGI, no 26 ad art. 706; SCHLUEP, RSJ 1958 p. 212; GADOW-HEINICHEN, Grosskommentar der Praxis, 2e éd., no 11 ad § 197), dans la mesure où celle-ci se sert des règles d'organisation de la société pour réaliser des fins contraires au bien social, pour faire passer des intérêts particuliers avant les intérêts généraux de la société et de l'ensemble de ses membres (RO 82 II 150). On ne saurait écarter cette difficulté en adoptant un critère subjectif, et entrer en matière lorsque le demandeur établit - ou du moins prétend - que l'on a voulu porter atteinte aux droits sociaux (et que la société ou lui-même subit un préjudice si la dette n'existe pas). Mais si l'art. 706 CO fonde l'action sur la seule violation objective de la loi ou des statuts, non sur un dol spécial, il n'en demeure pas moins que le bilan doit être sincère. Encore qu'il mentionne à juste titre les dettes éventuelles ou douteuses, même lorsque l'évaluation de leur montant est malaisée ou incertaine, il ne rend point en revanche un compte exact de l'état des dettes (art. 957 et 959 CO) quand l'administration y inscrit une obligation qu'elle sait fictive ou dont elle connaît l'inexistence ou l'extinction manifestes. On n'est pas en présence d'une telle opération lorsque le créancier peut faire valoir des arguments et que les organes sociaux se rangent à son avis ou que, nourrissant des doutes, ils ne s'y opposent pas avec une énergie suffisante. Ce n'est pas alors sur le terrain de l'action en annulation des décisions de l'assemblée générale que le débat, dont le créancier est en toute hypothèse absent, doit être porté. Il faut s'en prendre à l'acte critiquable de l'administration, qui n'a pas défendu avec la diligence requise les intérêts de la société. (Cf. PATRY, Semaine judiciaire 1963, p. 81 sv., notamment p. 103; F. v. STEIGER, Das Recht der BGE 92 II 243 S. 248 Aktiengesellschaft in der Schweiz, 3e éd., 1966, p. 211; v. également JdT 1941 I 626; RSJ 1940/41 p. 158; Basler juristische Mitteilungen 1963 p. 163).</w:t>
      </w:r>
    </w:p>
    <w:p>
      <w:r>
        <w:rPr>
          <w:b/>
        </w:rPr>
        <w:t>E. 3</w:t>
      </w:r>
    </w:p>
    <w:p>
      <w:r>
        <w:t>Le recourant critique l'approbation du bilan parce que l'administration de la société intimée y aurait inclus à tort les prétentions de Bosi et Gabella tendant au recouvrement du dividende concordataire. Ces deux actionnaires sont devenus titulaires des créances contestées soit en raison de paiements qui ont entraîné une subrogation légale ou conventionnelle, soit en vertu de cessions que les créanciers originaux leur ont consenties parce qu'ils reprenaient des dettes sociales. C'est le sort des créances initiales qu'il faut examiner, car il mesure les droits des titulaires actuels. Selon le jugement attaqué, certains créanciers désintéressés par Bosi et Gabella ont renoncé au dividende concordataire et les autres ont retiré leurs productions. Constatant la volonté dite interne des parties, distincte de l'interprétation juridique que le juge - et partant le Tribunal fédéral - en donne, la Cour cantonale déclare que ni les créanciers originaires, ni leurs successeurs n'ont renoncé à leurs droits contre la société intimée. Pour apprécier les mentions portées à l'état de collocation ("Verzicht", "Rückzug"), on pourrait songer à assimiler l'homologation d'un concordat, parce qu'elle entraîne la révocation de la faillite (art. 195 al. 1 LP), au retrait par tous les créanciers colloqués de leurs productions, retrait qui déploie le même effet. Or la déclaration écrite d'un créancier attestant, quelle que soit la formule employée, qu'il retire sans réserve ni condition sa production n'emporte pas renonciation à la créance elle-même (FAVRE, p. 319; RSJ 21 p. 41). Ce n'est là qu'un indice, tiré d'une analogie assez lointaine. Il reçoit toutefois quelque appui par des considérations plus adéquates. Ainsi, l'adhésion d'un créancier à un projet de concordat ordinaire ne saurait, en règle générale, valoir remise de dette dans le cas où le concordat n'arrive pas à chef; dans le doute, la déclaration s'entend sous la condition implicite de l'homologation (RO 42 III 77). De même, si le concordat homologué n'est pas exécuté, on peut interpréter différemment les renonciations partielles impliquées par l'adhésion au concordat et la renonciation totale d'un créancier, suivant les raisons qui ont déterminé celui-ci; on doit donner à la renonciation totale le BGE 92 II 243 S. 249 sens que les créanciers concordataires ont pu normalement lui prêter (RO 64 II 277). Ces précédents s'en tiennent donc à la portée de la déclaration du créancier, interprétée selon les principes habituels en la matière. Si l'on s'engage dans cette voie en l'espèce, il apparaît que le retrait de la production et la renonciation au paiement du dividende, encore qu'ils emportassent la perte de certains avantages (notamment des garanties suffisantes promises par le débiteur: art. 306 al. 2 ch. 2 LP), et de la faculté de demander la révocation du concordat s'il n'était pas exécuté à temps, ne constituaient une remise définitive que si les parties étaient convenues d'éteindre la dette (art. 115 CO). Cette extinction ne se présume pas. En cas de litige, le juge civil décide. Le fardeau de la preuve incombe au débiteur, respectivement à celui qui - comme le recourant - se place "obliquement", en raison du procès qu'il intente, dans la situation du débiteur. Cette preuve n'est certes pas rapportée en l'espèce. Sans doute, un indice sérieux résulte de l'absence d'une inscription de la dette dans les comptes de la société pendant les huit exercices qui suivirent la révocation de la faillite, et la plupart des attestations des paiements subrogatoires et des cessions ne datent que de 1962. Mais Bosi et Gabella expliquent qu'ils ont agi tardivement pour éviter une libération du capital funeste aux autres actionnaires et parce qu'ils espéraient réaliser la créance contre SAMIP. Au demeurant, d'autres éléments d'appréciation inclinent à penser que les dettes litigieuses n'ont pas été remises. Tout d'abord, la loi subroge la caution aux droits du créancier à concurrence de ce qu'elle a payé (art. 507 CO). Ensuite, la possibilité pour Bosi et Gabella d'éteindre par compensation leur obligation de libérer totalement leurs actions (art. 80 ORC) fait apparaître bien peu sensée et invraisemblable une éventuelle renonciation de leurs auteurs, qui prirent certainement langue avec eux à ce sujet. Enfin, le recourant lui-même entendait compenser sa propre obligation correspondante avec sa créance de 9000 fr., qu'il a aussi retirée: c'est prétendre pour le moins le dividende afférent à cette créance, qui partage naturellement le sort des droits cédés aux administrateurs. Dans ces circonstances, et bien que le dossier ne révèle aucune trace d'un sursis accordé à la société intimée, le moins que l'on puisse dire est que le sort des créances contestées par le recourant n'est pas évident. L'inexistence de la dette de l'intimée BGE 92 II 243 S. 250 n'est pas manifeste. Si l'on comprend que le créancier minoritaire songe à critiquer la décision que l'administration a prise au nom de la société, on ne peut parler de l'inscription d'un poste comptable fictif, partant de l'approbation d'un bilan manifestement inexact. La voie à suivre était celle de l'action en responsabilité fondée sur l'art. 754 CO, car l'assemblée générale n'a pas abusé de ses pouvoirs pour créer un traitement différentiel que les intérêts de la société ne justifiaient pas.</w:t>
      </w:r>
    </w:p>
    <w:p>
      <w:r>
        <w:rPr>
          <w:b/>
        </w:rPr>
        <w:t>E. 4</w:t>
      </w:r>
    </w:p>
    <w:p>
      <w:r>
        <w:t>Le recourant requiert en outre l'annulation de la décision par laquelle l'assemblée générale a, malgré ses protestations, approuvé le rapport de gestion présenté par le conseil d'administration pour les exercices 1962 et 1963. Son argumentation recouvre la critique de l'approbation du bilan. Le recours doit donc être rejeté sur ce point également pour les motifs qui précèdent (cf. la partie de l'arrêt Herold c. AG Bündner Kraftwerke non publiée au RO 81 II 462 sv.), si tant est qu'il présente à cet égard un objet distinct.</w:t>
      </w:r>
    </w:p>
    <w:p>
      <w:r>
        <w:rPr>
          <w:b/>
        </w:rPr>
        <w:t>E. 5</w:t>
      </w:r>
    </w:p>
    <w:p>
      <w:r>
        <w:t>Il s'ensuit que la demande et le recours doivent être rejetés, dans la mesure où le jugement cantonal est attaqué, parce que le recourant, en citant en justice la société pour faire annuler les décisions de son assemblée générale au lieu de rechercher les personnes qui ont reconnu les dettes contestées en son nom, n'a pas suivi la voie adéquate.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