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449</w:t>
      </w:r>
    </w:p>
    <w:p>
      <w:r>
        <w:t>Bundesgericht (BGE), 1965-01-01, IT</w:t>
      </w:r>
    </w:p>
    <w:p>
      <w:r>
        <w:rPr>
          <w:b/>
        </w:rPr>
        <w:t xml:space="preserve">Quelle: </w:t>
      </w:r>
      <w:r>
        <w:t>https://mcp.opencaselaw.ch/entscheid/bge_BGE_91_I_449</w:t>
      </w:r>
    </w:p>
    <w:p>
      <w:r>
        <w:t>FR: ATF 91 I 449</w:t>
      </w:r>
    </w:p>
    <w:p>
      <w:r>
        <w:t>IT: DTF 91 I 449</w:t>
      </w:r>
    </w:p>
    <w:p>
      <w:pPr>
        <w:pStyle w:val="Heading2"/>
      </w:pPr>
      <w:r>
        <w:t>Regeste</w:t>
      </w:r>
    </w:p>
    <w:p>
      <w:r>
        <w:t>Regeste VG. Verantwortlichkeit des Bundes für Handlungen des Bundesrates. 1. Der Kläger braucht die Person oder die Personen, denen er das widerrechtliche Verhalten zur Last legt, nicht zu bezeichnen; es genügt, dass er die Amtstelle oder Behörde nennt, welche für die von ihm als widerrechtlich betrachtete Handlung oder Unterlassung verantwortlich ist (Erw. 1). 2. Grenzen der Verantwortlichkeit des Bundes für Handlungen des Bundesrates (Erw. 2). 3. Begriff des widerrechtlichen Verhaltens im Sinne des Art. 3 Abs. 1 VG (Erw. 3). 4. Die Erstattung und die Verbreitung einer unbegründeten Strafanzeige durch eine eidgenössische Amtsstelle oder Behörde können die Verantwortlichkeit des Bundes begründen, jedoch nur, wenn nachgewiesen ist, dass die Amtsstelle oder Behörde ihr Ermessen überschritten oder missbraucht hat (Erw. 2 und 4). 5. Geheimnis der Strafanzeige und der Untersuchungsmassnahmen. Ausnahmen (Erw. 5).</w:t>
      </w:r>
    </w:p>
    <w:p>
      <w:r>
        <w:t>Regeste LRCF. Responsabilité de la Confédération pour les actes du Conseil fédéral. 1. Le demandeur n'est pas tenu de désigner la ou les personnes auxquelles il impute un comportement illicite; il suffit qu'il indique l'office ou l'autorité responsable de l'acte ou de l'omission qu'il considère comme illicite (consid. 1). 2. Limites de la responsabilité de la Confédération pour les actes du Conseil fédéral (consid. 2). 3. Notion du comportement illicite au sens de l'art. 3 al. 1 LRCF (consid. 3). 4. Le fait, pour un office fédéral ou une autorité fédérale, de porter une dénonciation pénale mal fondée et de la divulguer, peut entraîner la responsabilité de la Confédération, mais seulement s'il est prouvé que l'office ou l'autorité en question a outrepassé son pouvoir d'appréciation ou qu'il en a abusé (consid. 2 et 4). 5. Secret de la dénonciation pénale et des opérations de l'enquête. Exceptions (consid. 5).</w:t>
      </w:r>
    </w:p>
    <w:p>
      <w:r>
        <w:t>Regesto LResp. Responsabilità della Confederazione per atti del Consiglio federale. 1. L'attore non è tenuto a designare la o le persone alle quali addebita il comportamento illecito; è sufficiente che indichi l'ufficio o l'autorità responsabile dell'azione o dell'omissione che reputa illecite (consid. 1). 2. Limiti della responsabilità della Confederazione per atti del Consiglio federale (consid. 2). 3. Nozione di comportamento illecito nel senso dell'art. 3 cpv. 1 LResp. (consid. 3). 4. La presentazione di una denuncia penale infondata e la divulgazione della medesima da parte di un ufficio o di un'autorità federali possono comportare una responsabilità della Confederazione, ma solo nel caso in cui sia dimostrato che l'autorità o l'ufficio federali hanno oltrepassato il loro potere di apprezzamento o ne hanno abusato (consid. 2 e 4). 5. Segreto della denuncia penale e degli atti istruttori. Eccezioni (consid. 5).</w:t>
      </w:r>
    </w:p>
    <w:p>
      <w:pPr>
        <w:pStyle w:val="Heading2"/>
      </w:pPr>
      <w:r>
        <w:t>Erwägungen</w:t>
      </w:r>
    </w:p>
    <w:p>
      <w:r>
        <w:rPr>
          <w:b/>
        </w:rPr>
        <w:t>E. 1</w:t>
      </w:r>
    </w:p>
    <w:p>
      <w:r>
        <w:t>Der Kläger braucht die Person oder die Personen, denen er das widerrechtliche Verhalten zur Last legt, nicht zu bezeichnen; es genügt, dass er die Amtstelle oder Behörde nennt, welche für die von ihm als widerrechtlich betrachtete Handlung oder Unterlassung verantwortlich ist (Erw. 1).</w:t>
      </w:r>
    </w:p>
    <w:p>
      <w:r>
        <w:rPr>
          <w:b/>
        </w:rPr>
        <w:t>E. 2</w:t>
      </w:r>
    </w:p>
    <w:p>
      <w:r>
        <w:t>Grenzen der Verantwortlichkeit des Bundes für Handlungen des Bundesrates (Erw. 2).</w:t>
      </w:r>
    </w:p>
    <w:p>
      <w:r>
        <w:rPr>
          <w:b/>
        </w:rPr>
        <w:t>E. 3</w:t>
      </w:r>
    </w:p>
    <w:p>
      <w:r>
        <w:t>Begriff des widerrechtlichen Verhaltens im Sinne des Art. 3 Abs. 1 VG (Erw. 3).</w:t>
      </w:r>
    </w:p>
    <w:p>
      <w:r>
        <w:rPr>
          <w:b/>
        </w:rPr>
        <w:t>E. 4</w:t>
      </w:r>
    </w:p>
    <w:p>
      <w:r>
        <w:t>Die Erstattung und die Verbreitung einer unbegründeten Strafanzeige durch eine eidgenössische Amtsstelle oder Behörde können die Verantwortlichkeit des Bundes begründen, jedoch nur, wenn nachgewiesen ist, dass die Amtsstelle oder Behörde ihr Ermessen überschritten oder missbraucht hat (Erw. 2 und 4).</w:t>
      </w:r>
    </w:p>
    <w:p>
      <w:r>
        <w:rPr>
          <w:b/>
        </w:rPr>
        <w:t>E. 5</w:t>
      </w:r>
    </w:p>
    <w:p>
      <w:r>
        <w:t>a) La notorietà di un procedimento penale comporta per il prevenuto dei gravi pregiudizi alle relazioni personali, che possono risultare totalmente o in parte ingiustificati, qualora il procedimento si concluda con un giudizio liberatorio o quando la condanna ritenga solo parzialmente gli addebiti inizialmente proposti contro il prevenuto. Ne consegue che l'autorità procedente non può, senza grave motivo, rivelare al pubblico, l'esistenza del procedimento o gli elementi dell'istruttoria, almeno fin tanto che non lo esiga la pubblicità del processo e il magistrato competente si sia pronunciato, mediante l'emanazione dell'atto di accusa, sulla consistenza dell'imputazione penale. Questi principi sono espressi in modo esemplare nella stessa legge di procedura penale del Cantone di Berna. A chiarimento BGE 91 I 449 S. 455 delle relative norme, la Camera di accusa di detto Cantone ha anzi diramato, con circolare del 21 gennaio 1960, ai giudici d'istruzione, ai procuratori distrettuali e ai comandi di polizia delle direttive sulle comunicazioni alla stampa in punto alle istruzioni penali in corso. Essa fece rilevare che, di massima, le udienze della procedura preliminare e dell'istruttoria sono segrete (art. 93 del codice di procedura penale), che lo sono anche rispetto alle parti fino al giorno in cui il giudice, considerando di aver acquisito gli atti essenziali all'istruttoria, procede alla convocazione delle parti (art. 95). La Camera d'accusa fece nondimeno notare che a tale regola poteva essere fatta eccezione nei casi in cui lo esigesse lo scopo dell'istruttoria, vale a dire qualora fosse richiesta la collaborazione della popolazione, e nei casi in cui lo esigesse l'interesse pubblico, e cioè occorresse mettere in guardia la collettività da criminali pericolosi o orientare l'opinione pubblica a proposito di crimini gravi che inquietano la popolazione. Norme analoghe sono contenute anche in altre procedure cantonali come, ad esempio, il codice di procedura vodese ( art. 103 e 104 ), e come anche, benchè non in modo così esplicito, il CPP ticinese (art. 151). Ora se, riservati casi speciali, neppure l'autorità competente è autorizzata a rendere pubblico il contenuto di denunzie penali o di atti di istruttoria, a maggior ragione non può esserne legittimato il denunciante. Nel diritto austriaco, una siffatta pubblicazione è considerata attentato alla libera ricerca della verità da parte del giudice e pertanto perseguita come delitto (TH. RITTER, Lehrbuch des österreichischen Strafrechts, IIo volume, p. 469/470). Il diritto svizzero non contempla una speciale analoga fattispecie penale, ma l'atto suesposto potrebbe nondimeno costituire oggetto di azione civile, qualora conseguisse una lesione della personalità civile a'sensi degli art. 28 CC e 49 CO. Nel caso particolare, tale lesione è evidente. b) ..... c) Detta lesione è però illecita a'sensi dell'art. 3 cpv. 1 LResp., e quindi suscettiva di risarcimento, soltanto se l'amministrazione federale l'ha provocata trasgredendo precisi doveri o abusando del suo potere di apprezzamento. E'indubbio che, in unademocrazia comela nostra, l'autorità federale deve informare i cittadini di ogni rilevante vicenda, connessa all'amministrazione delle finanze federali. Questa informazione si svolge BGE 91 I 449 S. 456 normalmente attraverso lo scarico che essa dà del suo mandato al parlamento. Ma è certo, ed è pacifico, che nei casi di particolare importanza, come quando si tratti di notevoli perdite finanziarie o di reati che inquietano l'opinione pubblica, l'autorità federale può rivolgersi al pubblico anche mediante la stampa e anche se il dovere di informazione dell'autorità collida con interessi privati giuridicamente protetti. In tali casi, l'interesse pubblico essendo in principio prevalente sull'interesse privato e la materia non essendo disciplinata da precise norme di legge, l'informazione può esplicarsi soltanto nell'ambito del potere di apprezzamento dell'autorità esecutiva.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