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6</w:t>
      </w:r>
    </w:p>
    <w:p>
      <w:r>
        <w:t>Bundesgericht (BGE), 1965-01-01, DE</w:t>
      </w:r>
    </w:p>
    <w:p>
      <w:r>
        <w:rPr>
          <w:b/>
        </w:rPr>
        <w:t xml:space="preserve">Quelle: </w:t>
      </w:r>
      <w:r>
        <w:t>https://mcp.opencaselaw.ch/entscheid/bge_BGE_91_IV_6</w:t>
      </w:r>
    </w:p>
    <w:p>
      <w:r>
        <w:t>FR: ATF 91 IV 6</w:t>
      </w:r>
    </w:p>
    <w:p>
      <w:r>
        <w:t>IT: DTF 91 IV 6</w:t>
      </w:r>
    </w:p>
    <w:p>
      <w:pPr>
        <w:pStyle w:val="Heading2"/>
      </w:pPr>
      <w:r>
        <w:t>Regeste</w:t>
      </w:r>
    </w:p>
    <w:p>
      <w:r>
        <w:t>Regeste Art. 110 Ziff. 5, 251 Ziff. 1 Abs. 2 StGB. Der Kontrollstreifen der Registrierkasse ist als Bestandteil der Geschäftsbuchhaltung Urkunde. Das Nichttippen vereinzelter Einnahmen, die pflichtgemäss hätten aufgezeichnet werden müssen, stellt eine Falschbeurkundung dar.</w:t>
      </w:r>
    </w:p>
    <w:p>
      <w:r>
        <w:t>Regeste Art. 110 ch. 5, 251 ch. 1 al. 2 CP. En tant que partie de la comptabilité commerciale, la bande de contrôle de la caisse enregistreuse est un titre. L'omission de faire enregistrer par la caisse certaines recettes que la règle obligerait à noter constitue la confection d'un titre faux.</w:t>
      </w:r>
    </w:p>
    <w:p>
      <w:r>
        <w:t>Regesto Art. 110 cifra 5, 251 cifra 1 cpv. 2 CP. La striscia di controllo della cassa registratrice è da considerarsi, in quanto parte della contabilità commerciale, un documento. L'omissione di far registrare certe entrate che dovrebbero, secondo la regola, essere notate, costituisce formazione di documento falso.</w:t>
      </w:r>
    </w:p>
    <w:p>
      <w:pPr>
        <w:pStyle w:val="Heading2"/>
      </w:pPr>
      <w:r>
        <w:t>Erwägungen</w:t>
      </w:r>
    </w:p>
    <w:p>
      <w:r>
        <w:rPr>
          <w:b/>
        </w:rPr>
        <w:t>E. 1</w:t>
      </w:r>
    </w:p>
    <w:p>
      <w:r>
        <w:t>Nach der verbindlichen Feststellung des Obergerichts war der Kontrollstreifen der Registrierkasse Grundlage für die Einträge im Kassabuch und zusammen mit diesem Bestandteil der Geschäftsbuchhaltung. Als solcher hatte er Urkundencharakter, indem auf Grund der gesetzlichen Pflicht zur ordnungsgemässen Führung der Geschäftsbücher von Gesetzes wegen vermutet wird, dass der Kassenstreifen über die eingegangenen Zahlungen wahrheitsgemäss und lückenlos Aufschluss gebe. Diese objektive, vom Gesetz verliehene Beweisbestimmung besteht unabhängig davon, wann und zu welchem Zweck der Geschäftsherr die Aufzeichnungen als Beweismittel verwenden will und ob sie, sei es für sich allein oder zusammen mit andern Unterlagen, tatsächlich vollen Beweis erbringen ( BGE 79 IV 163 f.). Es ist daher entgegen der Auffassung der Beschwerdeführerin unerheblich, ob der Kontrollstreifen der Registrierkasse nach dem Willen des Geschäftsinhabers auch gegenüber seinen Angestellten die Funktion eines Beweismittels zu erfüllen gehabt habe oder nicht und ob im Innenverhältnis die mit fortlaufenden Nummern versehenen Quittungsdoppel ein zuverlässigeres und glaubwürdigeres Mittel gewesen seien, um die Vollständigkeit und Richtigkeit der Bareinnahmen nachzuweisen. Massgebend für den Urkundencharakter des Kassenstreifens ist nicht der Grad der Glaubwürdigkeit, der ihm im Betrieb beigemessen wird, oder dessen Tauglichkeit, allfällige Fehlbeträge aufzudecken, sondern einzig, ob er seinem Wesen nach dazu bestimmt oder geeignet ist, die eingegangenen Zahlungen zu beweisen ( Art. 110 Ziff. 5 StGB ). Da ihm hier diese Bestimmung kraft Gesetzes zukam, waren die Aufzeichnungen nicht bloss Behauptungen, wie sie Abrechnungen enthalten, die nicht Bestandteil einer kaufmännischen Buchhaltung sind ( BGE 73 IV 109 f., BGE 88 IV 34 f.). Ob allenfalls der Kontrollstreifen der Registrierkasse die Eigenschaft der Urkunde verliere, wenn die Einnahmen während einiger Zeit absichtlich nicht mehr aufgezeichnet werden, kann dahingestellt bleiben. Angenommen, dies sei zu bejahen, so folgt daraus nicht, dass auch dann keine Urkunde vorliege, wenn die Einnahmen getippt, einzelne von ihnen aber ausgelassen werden. In diesem Falle wird eine ordnungsmässige Kassenführung vorgespiegelt, deren Aufzeichnungen, wenn sie BGE 91 IV 6 S. 8 Bestandteil der Buchhaltung sind, vollständig und richtig sein müssen. Durch Auslassung vereinzelter Einnahmen, die pflichtgemäss hätten aufgezeichnet werden sollen, werden die Betriebsergebnisse ebenso wie durch wahrheitswidriges Tippen einzelner Zahlungen gefälscht. Die Beschwerdeführerin hat sich daher Falschbeurkundungen im Sinne des Art. 251 Ziff. 1 Abs. 2 StGB zuschulden kommen lassen.</w:t>
      </w:r>
    </w:p>
    <w:p>
      <w:r>
        <w:rPr>
          <w:b/>
        </w:rPr>
        <w:t>E. 2</w:t>
      </w:r>
    </w:p>
    <w:p>
      <w:r>
        <w:t>In der Annahme der Vorinstanz, die Beschwerdeführerin habe die Falschbeurkundungen vorsätzlich begangen, liegt auch, wie in der Beschwerde anerkannt wird, die Feststellung, dass sich die Beschwerdeführerin der Beweisbestimmung des Kontrollstreifens der Registrierkasse bewusst war. Diese Feststellung betrifft tatsächliche Verhältnisse; sie ist daher für den Kassationshof verbindlich und kann mit der Nichtigkeitsbeschwerde nicht angefochten werden (Art. 277 bis Abs. 1 und 273 Abs. 1 lit. b BStP).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