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91 IV 218</w:t>
      </w:r>
    </w:p>
    <w:p>
      <w:r>
        <w:t>Bundesgericht (BGE), 1965-01-01, FR</w:t>
      </w:r>
    </w:p>
    <w:p>
      <w:r>
        <w:rPr>
          <w:b/>
        </w:rPr>
        <w:t xml:space="preserve">Quelle: </w:t>
      </w:r>
      <w:r>
        <w:t>https://mcp.opencaselaw.ch/entscheid/bge_BGE_91_IV_218</w:t>
      </w:r>
    </w:p>
    <w:p>
      <w:r>
        <w:t>FR: ATF 91 IV 218</w:t>
      </w:r>
    </w:p>
    <w:p>
      <w:r>
        <w:t>IT: DTF 91 IV 218</w:t>
      </w:r>
    </w:p>
    <w:p>
      <w:pPr>
        <w:pStyle w:val="Heading2"/>
      </w:pPr>
      <w:r>
        <w:t>Regeste</w:t>
      </w:r>
    </w:p>
    <w:p>
      <w:r>
        <w:t>Regeste Art. 264 BStP und 96 Abs. 2 ZG Bestimmung des Gerichtsstandes in Zollstrafsachen. 1. Befugnis der Bundesanwaltschaft, die Anklagekammer zur Bestimmung des Gerichtsstandes anzurufen (Erw. 1). 2. Bestimmung des Begehungsortes, wenn die Strafverfolgung sich gegen mehrere Mittäter richtet (Erw. 2). 3. Kommen mehrere Begehungsorte in Frage, so befindet sich der Gerichtsstand dort, wo die Untersuchung zuerst eröffnet worden ist (Erw. 3). 4. Frage offen gelassen, ob Art. 96 Abs. 2 Satz 1 ZG die Anklagekammer ermächtigt, vom gesetzlichen Gerichtsstand abzuweichen, wenn die Tat nicht an einem Ort allein begangen wurde (Erw. 4).</w:t>
      </w:r>
    </w:p>
    <w:p>
      <w:r>
        <w:t>Regeste Art. 264 PPF et 96 al. 2 LD. Désignation du for en matière de délits douaniers. 1. Le Ministère public fédéral a qualité pour saisir la Chambre d'accusation d'une requête en fixation de for (consid. 1). 2. Détermination du lieu de commission lorsque la poursuite pénale est dirigée contre plusieurs coauteurs (consid. 2). 3. Si plusieurs lieux de commission entrent en considération, le for est au lieu où l'enquête a d'abord été ouverte (consid. 3). 4. Lorsque l'infraction n'a pas été perpétrée à un seul endroit, l'art 96 al. 2, 1re phrase LD autorise-t-il la Chambre d'accusation à déroger à la règle du for légal? Questionlaissée indécise (consid.4).</w:t>
      </w:r>
    </w:p>
    <w:p>
      <w:r>
        <w:t>Regesto Art. 264 PPF e 96 cpv. 2 LD. Designazione del foro in materia di reati doganali. 1. Il Ministero pubblico della Confederazione ha veste per adire la Camera d'accusa affinchè designi il foro (consid. 1). 2. Determinazione del luogo di commissione quando il procedimento penale è aperto contro più coautori (consid. 2). 3. Se entrano in linea di conto più luoghi di commissione, il foro si trova là dove l'inchiesta è stata aperta prima (consid. 3). 4. Quando il reato non è stato commesso in un solo luogo, l'art. 96 cpv. 2 prima frase LD autorizza la Camera d'accusa a derogare dalla regola del foro legale? Quesito lasciato indeciso (consid. 4).</w:t>
      </w:r>
    </w:p>
    <w:p>
      <w:pPr>
        <w:pStyle w:val="Heading2"/>
      </w:pPr>
      <w:r>
        <w:t>Erwägungen</w:t>
      </w:r>
    </w:p>
    <w:p>
      <w:r>
        <w:rPr>
          <w:b/>
        </w:rPr>
        <w:t>E. 1</w:t>
      </w:r>
    </w:p>
    <w:p>
      <w:r>
        <w:t>Lorsque le Ministère public de la Confédération adresse à un tribunal, en vertu de l'art. 97 LD, le dossier d'une affaire pénale douanière pour jugement, son ordonnance de renvoi ne détermine pas le for (RO 82 IV 123 consid. 1). Au contraire, le tribunal saisi peut et doit examiner la question de sa compétence ratione loci. S'il la résout négativement, il doit prendre contact avec les autorités du canton où il considère que se trouve le for et, si celui-ci est contesté, s'adresser à la Chambre d'accusation du Tribunal fédéral, conformément à l'art. 264 PPF (RO 86 IV 135 consid. 2 et les références). Le Tribunal du district de Zurich n'ayant pas suivi cette procédure, le Ministère public fédéral est en droit, en tant qu'accusateur public, de demander à la Chambre d'accusation de déterminer le for (RO 91 IV 109). Il devait le faire, selon la jurisprudence, sans attendre le jugement sur le fond (RO 88 IV 144; 91 IV 109 ).</w:t>
      </w:r>
    </w:p>
    <w:p>
      <w:r>
        <w:rPr>
          <w:b/>
        </w:rPr>
        <w:t>E. 2</w:t>
      </w:r>
    </w:p>
    <w:p>
      <w:r>
        <w:t>Le for de la poursuite des infractions douanières est régi non par l'art. 283 PPF, mais par l'art. 96 LD et par l'art. 129 du règlement d'exécution de cette loi (RD), car l'art. 279 PPF réserve les prescriptions des lois fédérales spéciales et de leurs ordonnances d'exécution (RO 82 IV 125; 91 IV 110 ). Selon les art. 96 LD et 129 RD, les infractions douanières sont jugées par les tribunaux du canton où l'infraction a été commise. Si plusieurs cantons sont en cause, les tribunaux compétents BGE 91 IV 218 S. 221 sont ceux du canton où l'enquête a été ouverte en premier lieu. Wolff a chargé Bühler de commettre les infractions douanières et celui-ci s'est servi de Spieler. Tous trois sont coauteurs, selon la jurisprudence concernant le droit pénal commun, applicable aux infractions douanières (RO 81 IV 62; 82 IV 126 /7; 86 IV 47 /8). N'est pas seulement coauteur celui qui a participé à l'exécution, mais aussi celui qui a pris la décision. Il faut tenir compte de la volonté délictueuse plus que des actes d'exécution (RO 85 IV 133/4 et les références). En l'espèce, si l'on s'en tient à l'état de fait du prononcé administratif, Wolff était l'auteur intellectuel des actes punissables et c'est lui qui devait en tirer le plus grand profit, alors que Bühler n'était que l'exécutant, rétribué seulement par des commissions. Wolff doit par conséquent répondre des actes de Bühler et de Spieler, comme s'il les avait commis lui-même (RO 81 IV 149 et les références, 88 IV 54 consid. 4). Les actes punissables reprochés à Wolff ont été commis non pas au lieu où il a exercé son activité, mais à l'endroit où se sont déroulées les infractions douanières, c'est-à-dire au port franc de Genève-Cornavin; car c'est là que Spieler a fait passer la frontière aux montres, sans les annoncer à la douane (art. 74 ch. 3, 76 ch. 2 LD; RO 82 IV 126 consid. 3). L'activité antérieure des trois coauteurs ne constituait que des actes préparatoires. Il est vrai que, dans l'arrêt cité au RO 82 IV 127, la Chambre d'accusation a considéré que le coauteur intellectuel a commis la contravention douanière aussi au lieu où il a donné ses instructions orales et où il a écrit ses lettres etc. On ne peut maintenir cette jurisprudence, dans la mesure où l'activité du coauteur intellectuel ne constitue pas des actes d'exécution de l'infraction. En interprétant l'art. 346 al. 1 CP, la Chambre d'accusation a toujours considéré que le for se trouvait au lieu des actes d'exécution, et non à celui où le coauteur intellectuel avait accompli les actes préparatoires. On ne voit pas pourquoi l'on devrait adopter une autre solution lorsqu'il s'agit de déterminer le for du délit prévu à l'art. 96 al. 2 LD. Il ne convient pas de traiter différemment les cas où l'auteur est unique et ceux où il s'est associé avec une autre personne, qui a pris les décisions et préparé les actes punissables en tant qu'auteur intellectuel. BGE 91 IV 218 S. 222 Il en résulte que Genève est le seul lieu de commission du délit, de sorte que les autorités de ce canton sont compétentes.</w:t>
      </w:r>
    </w:p>
    <w:p>
      <w:r>
        <w:rPr>
          <w:b/>
        </w:rPr>
        <w:t>E. 3</w:t>
      </w:r>
    </w:p>
    <w:p>
      <w:r>
        <w:t>On pourrait se demander si les agissements de Wolff et de Bühler, notamment la première exportation régulière de montres, constituaient des actes d'exécution, puisque, selon le plan établi, elle représentait déjà le pas décisif en vue de réintroduire la marchandise en fraude. D'autres lieux de commission entreraient alors en considération, en particulier Bienne et La Chaux-de-Fonds, Bühler ayant déclaré certaines exportations de montres aux offices douaniers de ces villes. Mais il a aussi fait cette déclaration au bureau douanier de Genève-Poste. D'ailleurs, Genève est dans tous les cas un lieu de commission, parce que les montres y furent réimportées frauduleusement. Enfin, c'est à Genève que l'enquête a d'abord été ouverte, de sorte que les autorités genevoises sont de toute façon compétentes.</w:t>
      </w:r>
    </w:p>
    <w:p>
      <w:r>
        <w:rPr>
          <w:b/>
        </w:rPr>
        <w:t>E. 4</w:t>
      </w:r>
    </w:p>
    <w:p>
      <w:r>
        <w:t>L'art. 96 al. 2, 1re phrase, LD dispose que les tribunaux cantonaux du lieu de commission du délit sont compétents "en règle générale". S'ensuit-il que cette phrase vise uniquement les cas normaux, où l'infraction a été perpétrée à un seul endroit, en Suisse, par opposition aux situations prévues dans la suite du texte? Telle paraît avoir été l'opinion du Conseil fédéral, qui a laissé tomber les mots "en règle générale" à l'art. 129 RD. La Chambre d'accusation ne serait alors pas habile à désigner un for autre que celui du lieu où le délit a été commis ou de celui où l'enquête a d'abord été ouverte. La question peut toutefois demeurer indécise. En effet, si l'expression "en règle générale" signifie que le for peut aussi être fixé ailleurs, elle ne permet en tout cas pas à la Chambre de céans de le déterminer à sa guise. Au contraire, une exception ne pourrait être consentie que pour des raisons impérieuses (RO 91 IV 111). Le fait qu'un coauteur a agi seulement ou principalement hors du lieu de commission du délit ne saurait légitimer une dérogation au for légal. Ainsi que l'expose l'arrêt cité, les avantages inhérents au for du domicile ne suffisent pas non plus pour écarter le for du lieu de la commission. C'est pourquoi on peut se dispenser d'examiner si, à l'époque des infractions, Wolff avait son domicile à Zurich ou à Neuchâtel. Maintenant, il réside au Brésil, d'où il peut se défendre aussi bien à Genève qu'à Neuchâtel ou à Zurich. Puisqu'il bénéficie de l'assistance d'un avocat, la question de la langue ne joue BGE 91 IV 218 S. 223 pas un rôle décisif. Il est d'ailleurs invraisemblable que Wolff, qui a fait en Suisse le commerce de montres en gros, ne comprenne pas le français. Le cas échéant, il faudra recourir à un interprète. Le fait qu'un certain nombre de pièces du dossier sont rédigées en allemand ne constitue pas non plus un motif suffisant d'abandonner le for légal. Au reste, quelques procèsverbaux sont en français et un tribunal de Suisse alémanique devrait les faire traduire s'il voulait s'épargner la peine de lire les textes originaux. Dispositiv Par ces motifs, la Chambre d'accusation: Déclare les autorités du canton de Genève compétentes aux fins de poursuivre et de juger les infractions retenues à la charge de Josef Wolff.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