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w:t>
      </w:r>
    </w:p>
    <w:p>
      <w:r>
        <w:t>Bundesgericht (BGE), 1965-01-01, DE</w:t>
      </w:r>
    </w:p>
    <w:p>
      <w:r>
        <w:rPr>
          <w:b/>
        </w:rPr>
        <w:t xml:space="preserve">Quelle: </w:t>
      </w:r>
      <w:r>
        <w:t>https://mcp.opencaselaw.ch/entscheid/bge_BGE_91_IV_2</w:t>
      </w:r>
    </w:p>
    <w:p>
      <w:r>
        <w:t>FR: ATF 91 IV 2</w:t>
      </w:r>
    </w:p>
    <w:p>
      <w:r>
        <w:t>IT: DTF 91 IV 2</w:t>
      </w:r>
    </w:p>
    <w:p>
      <w:pPr>
        <w:pStyle w:val="Heading2"/>
      </w:pPr>
      <w:r>
        <w:t>Regeste</w:t>
      </w:r>
    </w:p>
    <w:p>
      <w:r>
        <w:t>Regeste Art. 69 StGB. Das Verhalten nach der Tat, das einen besondern Haftgrund darstellt und für die Verhaftung oder Haftbelassung tatsächlich massgebend war, ist für die Haft auch dann kausal, wenn sie durch ein anderes Benehmen des Beschuldigten nicht hätte abgewendet oder verkürzt werden können, sondern ohne den besondern Haftgrund aus einem allgemeinen angeordnet oder aufrechterhalten worden wäre.</w:t>
      </w:r>
    </w:p>
    <w:p>
      <w:r>
        <w:t>Regeste Art. 69 CP. Lorsque la conduite après l'infraction constitue en soi un motif spécial de détention et qu'elle a effectivement provoqué ou prolongé celle-ci, elle en est la cause quand bien même l'inculpé n'eût pu éviter ou écourter la détention en se comportant différemment, et que cette mesure eût été prise ou maintenue pour un motif général, même en l'absence de la raison spéciale.</w:t>
      </w:r>
    </w:p>
    <w:p>
      <w:r>
        <w:t>Regesto Art. 69 CP. La condotta susseguente al reato, costituente speciale motivo di detenzione e causa effettiva della medesima o del suo prolungamento, è causale per la detenzione anche se l'imputato, pur comportandosi diversamente, non avrebbe comunque potuto evitarla o abbreviarla, tale misura avendo potuto essere disposta o mantenuta, indipendentemente dal motivo speciale, per ragioni di carattere generale.</w:t>
      </w:r>
    </w:p>
    <w:p>
      <w:pPr>
        <w:pStyle w:val="Heading2"/>
      </w:pPr>
      <w:r>
        <w:t>Erwägungen</w:t>
      </w:r>
    </w:p>
    <w:p>
      <w:r>
        <w:rPr>
          <w:b/>
        </w:rPr>
        <w:t>E. 1</w:t>
      </w:r>
    </w:p>
    <w:p>
      <w:r>
        <w:t>Nach Art. 69 StGB ist dem Verurteilten die Untersuchungshaft auf die Strafe anzurechnen, wenn die Haft unabhängig vom Verhalten des Täters nach der Tat angeordnet oder aufrechterhalten wurde; sie ist dagegen nicht anzurechnen, wenn das Verhalten des Täters nach der Tat für die Verhängung oder Fortdauer der Haft entscheidend war ( BGE 76 IV 24 ). a) Die Kollusions- und Fluchtgefahr, deretwegen Taupe am 1. Oktober in Zürich in Untersuchungshaft gesetzt worden ist, ergab sich nicht aus einem bestimmten Verhalten nach der Tat, sondern die Gefahr der Kollusion wurde wegen des noch nicht abgeklärten Diebstahlverdachts und die Fluchtgefahr im Hinblick darauf, dass Taupe als Ausländer keinen festen Wohnsitz in der Schweiz hatte, von Gesetzes wegen vermutet (§ 49 lit. a und b zürch. StPO). Die Verhaftung des Beschwerdeführers und seine Haftbelassung nach dem Geständnis vom 7. Oktober wie auch die nach seiner Überführung nach Chur von den Bündner Behörden auf Grund von § 83 der bündnerischen StPO erlassene Haftverfügung stützten sich auf allgemeine, abstrakte Gründe, welche die Anrechnung der Haft nicht ausschliessen. Nur soweit Taupe anfänglich einen Diebstahl BGE 91 IV 2 S. 4 leugnete, hat er durch ein Verhalten nach der Tat das Verfahren erschwert und damit die Untersuchungshaft verlängert, weshalb ihm das Kantonsgericht, was nicht angefochten wird, die Haft vom 1. bis 7. Oktober nicht angerechnet hat. b) Der Beschwerdeführer hält die Nichtanrechnung der nach der Entweichung vom 25./26. Oktober bis zur gerichtlichen Beurteilung ausgestandenen Untersuchungs- und Sicherheitshaft für unzulässig, weil keine Anzeichen dafür vorlägen, dass die Haft, wenn er den Fluchtversuch nicht unternommen hätte, aufgehoben oder abgekürzt worden wäre; aus der Haftbelassung des Mitbeschuldigten Schönherr, der keine Flucht unternahm, ergebe sich vielmehr, dass auch Taupe in Haft behalten worden wäre, weshalb sein Verhalten für die nachfolgende Haft nicht kausal gewesen sein könne. Diese Auffassung hält nicht stand. Gewiss wurde in BGE 90 IV 70 ausgeführt, für die Nichtanrechnung genüge, "dass die Haft mit dem Verhalten des Beschuldigten ursächlich zusammenhange, d.h. dass dieser sie durch ein anderes Benehmen hätte abwenden oder verkürzen können". Damit wurde der zwischen der Haft und dem Verhalten des Beschuldigten erforderliche Kausalzusammenhang, wie er bisher verstanden worden ist, nicht neu umschrieben. In BGE 90 IV 69 f. werden unter Ziff. 1 lediglich Erwägungen aus früheren Entscheidungen, auf die im einzelnen verwiesen wird, zusammengefasst. Der erwähnte Satz, auf den sich der Beschwerdeführer beruft, bezog sich in BGE 81 IV 23 , dem er entnommen ist, nur auf Fälle, in denen das Verhalten des Beschuldigten kein Haftgrund im Sinne des kantonalen Prozessrechtes ist, sondern die Haft nur mittelbar, durch Verzögerung des Verfahrens, zur Folge hat, wie dann, wenn der Beschuldigte im Untersuchungsverfahren die Auskunft verweigert, die Tat leugnet, irreführende Angaben macht oder wenn er, um dem Strafvollzug zu entgehen, offensichtlich trölerisch ein Rechtsmittel einlegt oder aufrechterhält. In diesen Fällen kann gesagt werden, der Beschuldigte hätte die Haft durch ein anderes Benehmen verkürzen oder abwenden können. Das heisst aber nicht, dass jedes Verhalten nach der Tat nur dann für die Haft kausal sei, wenn ohne dieses Verhalten die Verhaftung unterblieben oder eine bereits bestehende Haft aufgehoben oder verkürzt worden wäre. Nach der Rechtsprechung des Kassationshofes ist der Kausalzusammenhang nicht allgemein an eine solche Voraussetzung BGE 91 IV 2 S. 5 geknüpft, insbesondere dann nicht, wenn der Täter durch sein Verhalten einen besonderen Haftgrund setzt. Es kommt dann vielmehr einzig darauf an, ob das Verhalten des Täters tatsächlich massgebender Grund dafür war, dass er verhaftet oder in Haft behalten worden ist. Wird diese Frage bejaht, so hat der Beschuldigte im Sinne des Art. 69 StGB die Haft herbeigeführt oder verlängert, und sie darf daher für solange, als die Dauer der Haft auf sein Verhalten zurückzuführen ist, ihm nicht auf die Strafe angerechnet werden, gleichgültig, ob neben dem konkreten noch ein abstrakter Haftgrund bestand und ob die Verhaftung oder Haftbelassung ohne den besondern Haftgrund aus dem allgemeinen angeordnet worden wäre ( BGE 73 IV 94 ff.). Hievon abzugehen und in Fällen, in denen die Haft sowohl mit einem abstrakten als auch mit einem konkreten Haftgrund gerechtfertigt werden kann, den ursächlichen Zusammenhang zwischen der Haft und dem vom Beschuldigten zu vertretenden Verhalten stets auszuschliessen, hätte zur Folge, dass es auf den Grund, aus dem die Haft in Wirklichkeit verfügt oder beibehalten wurde, nicht mehr ankäme und dass die Haft ohne Rücksicht auf das Benehmen des Beschuldigten immer angerechnet werden müsste. Das widerspräche dem Zweck des Art. 69 StGB , der verhindern will, dass die Haft, zu der der Täter absichtlich Anlass gegeben hat, angerechnet werde. Es wäre auch nicht zu rechtfertigen, dass der eine Täter, der z.B. durch Verdunkelungsmassnahmen der Strafverfolgung entgegenzuwirken oder durch Flucht sich der Strafe zu entziehen sucht, in den Genuss der Haftanrechnung käme, während sie dem andern, der die Untersuchung durch Leugnen, Auskunftsverweigerung u. dgl. erschwert, versagt bliebe. Der Umstand, dass im vorliegenden Falle die allgemeine Fluchtgefahr neben der besondern, wie sie sich aus dem Fluchtversuch des Beschwerdeführers ergab, fortbestand und die Haft darum mit grosser Wahrscheinlichkeit auch ohne diesen Fluchtversuch aufrechterhalten worden wäre, schliesst daher nicht aus, dass vom 26. Oktober an nicht mehr die abstrakte, sondern die konkrete Fluchtgefahr massgebender Grund für die Fortdauer der Haft war. Es wäre auch keineswegs unbillig, Taupe die Folgen seines Verhaltens tragen zu lassen, dem Mitbeschuldigten Schönherr, der keinen Fluchtversuch unternahm, dagegen die Haft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