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193</w:t>
      </w:r>
    </w:p>
    <w:p>
      <w:r>
        <w:t>Bundesgericht (BGE), 1965-01-01, DE</w:t>
      </w:r>
    </w:p>
    <w:p>
      <w:r>
        <w:rPr>
          <w:b/>
        </w:rPr>
        <w:t xml:space="preserve">Quelle: </w:t>
      </w:r>
      <w:r>
        <w:t>https://mcp.opencaselaw.ch/entscheid/bge_BGE_91_IV_193</w:t>
      </w:r>
    </w:p>
    <w:p>
      <w:r>
        <w:t>FR: ATF 91 IV 193</w:t>
      </w:r>
    </w:p>
    <w:p>
      <w:r>
        <w:t>IT: DTF 91 IV 193</w:t>
      </w:r>
    </w:p>
    <w:p>
      <w:pPr>
        <w:pStyle w:val="Heading2"/>
      </w:pPr>
      <w:r>
        <w:t>Regeste</w:t>
      </w:r>
    </w:p>
    <w:p>
      <w:r>
        <w:t>Regeste Art. 122 Ziff. 1 Abs. 1 StGB; lebensgefährliche Körperverletzung; Begriff (Erw. 2), Vorsatz (Erw. 3), unechte Gesetzeskonkurrenz mit Art. 129 StGB (Erw. 4).</w:t>
      </w:r>
    </w:p>
    <w:p>
      <w:r>
        <w:t>Regeste Art. 122 ch. 1 al. 1 CP; blessure propre à mettre la vie en danger; notion (consid. 2), intention (consid. 3), concours imparfait avec l'art. 129 CP (consid. 4).</w:t>
      </w:r>
    </w:p>
    <w:p>
      <w:r>
        <w:t>Regesto Art. 122 num. 1 cpv. 1 CP; lesione propria a mettere la vita in pericolo; nozione (consid. 2), intenzione (consid. 3), concorso imperfetto con l'art. 129 CP (consid. 4).</w:t>
      </w:r>
    </w:p>
    <w:p>
      <w:pPr>
        <w:pStyle w:val="Heading2"/>
      </w:pPr>
      <w:r>
        <w:t>Erwägungen</w:t>
      </w:r>
    </w:p>
    <w:p>
      <w:r>
        <w:rPr>
          <w:b/>
        </w:rPr>
        <w:t>E. 2</w:t>
      </w:r>
    </w:p>
    <w:p>
      <w:r>
        <w:t>..... Unter Verletzen im Sinne von Art. 122 Ziff. 1 Abs. 1 StGB versteht das Gesetz, wie aus den übrigen Bestimmungen (Art. 122 Ziff. 1 Abs. 3 in Verbindung mit Ziff. 2, Art. 123 Ziff. 1 in Verbindung mit Ziff. 2 und 3, Art. 124 und 125 StGB in Verbindung mit den vorangehenden Bestimmungen) hervorgeht, auch eine Gesundheitsschädigung, die der Täter bewirkt, ohne den Körper als Stoff im engeren Sinne, etwa durch Verstümmeln, Schneiden, Brechen, Quetschen und dergleichen zu verletzen. Das kann beispielsweise dadurch geschehen, dass der Täter sein Opfer ein Gift einatmen oder einnehmen lässt oder an ihm, wie hier, die Atmung für eine gewisse Zeit unterbindet. Gewiss wird mit der Verletzung oder Schädigung ein Zustand bezeichnet. Doch ist nicht erforderlich, dass es sich dabei immer um einen bleibenden oder lange andauernden Zustand handeln muss. Mag dies im Hinblick auf die in Art. 122 Ziff. 1 Abs. 2 enthaltene Aufzählung für "eine andere schwere Schädigung des Körpers oder der körperlichen oder geistigen Gesundheit eines Menschen" gemäss Art. 122 Ziff. 1 Abs. 3 StGB in der Regel gelten, so jedenfalls nicht für die lebensgefährliche Verletzung oder Schädigung im Sinne von Art. 122 Ziff. 1 Abs. 2 StGB . In diesem Falle genügt es, dass das Opfer durch die ihm zugefügte Schädigung der Lebensgefahr ausgesetzt wird, gleichgültig wie lange dieser Zustand dauert. Eine derartige Lebensgefährdung hatte Mentha gemäss vorinstanzlicher Feststellung durch seinen Würgegriff bei Frau Beuret hervorgerufen. Damit sind die äusseren Tatbestandsmerkmale des Art. 122 Ziff. 1 Abs. 1 StGB gegeben.</w:t>
      </w:r>
    </w:p>
    <w:p>
      <w:r>
        <w:rPr>
          <w:b/>
        </w:rPr>
        <w:t>E. 3</w:t>
      </w:r>
    </w:p>
    <w:p>
      <w:r>
        <w:t>..... Dass Mentha sein Opfer mit Wissen und Willen BGE 91 IV 193 S. 195 in Lebensgefahr gebracht hat, ergibt sich zwangsläufig aus den Feststellungen, mit denen das angefochtene Urteil den Vorsatz hinsichtlich der Gefährdung des Lebens gemäss Art. 129 StGB bejaht. Es steht danach fest, dass der Beschwerdeführer Frau Beuret wissentlich und willentlich würgte, ebenso, dass er dies im Bewusstsein tat, dadurch das Leben der Gewürgten zu gefährden. Mehr braucht es zur Annahme des Vorsatzes zur lebensgefährlichen, mithin schweren Körperverletzung nicht.</w:t>
      </w:r>
    </w:p>
    <w:p>
      <w:r>
        <w:rPr>
          <w:b/>
        </w:rPr>
        <w:t>E. 4</w:t>
      </w:r>
    </w:p>
    <w:p>
      <w:r>
        <w:t>Ist der gesetzliche Tatbestand von Art. 122 Ziff. 1 StGB verwirklicht, so bleibt für die Anwendung von Art. 129 StGB kein Raum. Die beiden Bestimmungen stehen zueinander in unechter Gesetzeskonkurrenz. Erfolgt die Gefährdung des Lebens durch eine schwere Körperverletzung, so ist allein Art. 122 StGB anwendbar (vgl. GERMANN, "Das Verbrechen im neuen Strafrecht", S. 246). Die zu beurteilende Tat wird durch diese Bestimmung nach allen Seiten erfasst. Es kann danach offen bleiben, ob sie auch die in Art. 129 StGB umschriebenen Voraussetzungen in jeder Richtung erfülle.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