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177</w:t>
      </w:r>
    </w:p>
    <w:p>
      <w:r>
        <w:t>Bundesgericht (BGE), 1965-01-01, DE</w:t>
      </w:r>
    </w:p>
    <w:p>
      <w:r>
        <w:rPr>
          <w:b/>
        </w:rPr>
        <w:t xml:space="preserve">Quelle: </w:t>
      </w:r>
      <w:r>
        <w:t>https://mcp.opencaselaw.ch/entscheid/bge_BGE_91_IV_177</w:t>
      </w:r>
    </w:p>
    <w:p>
      <w:r>
        <w:t>FR: ATF 91 IV 177</w:t>
      </w:r>
    </w:p>
    <w:p>
      <w:r>
        <w:t>IT: DTF 91 IV 177</w:t>
      </w:r>
    </w:p>
    <w:p>
      <w:pPr>
        <w:pStyle w:val="Heading2"/>
      </w:pPr>
      <w:r>
        <w:t>Regeste</w:t>
      </w:r>
    </w:p>
    <w:p>
      <w:r>
        <w:t>Regeste Art. 91 Ziff. 1 StGB. Vollzugsschwierigkeiten sind kein Grund, die angeordnete, aber durch Flucht des Zöglings vereitelte Anstaltseinweisung aufzuheben (Erw. 2). Hinweis auf Hilfs- oder Ersatzmassnahmen, die in einem solchen Falle in Betracht kommen (Erw. 4).</w:t>
      </w:r>
    </w:p>
    <w:p>
      <w:r>
        <w:t>Regeste Art. 91 ch. 1 CP. Des difficultés d'exécution ne sont pas un motif de lever une mesure de renvoi dans un établissement à laquelle l'adolescent s'est soustrait en prenant la fuite (consid. 2). Indication des autres mesures qui pourraient être prises en pareil cas (consid. 4).</w:t>
      </w:r>
    </w:p>
    <w:p>
      <w:r>
        <w:t>Regesto Art. 91 num. 1 CP. Difficoltà d'esecuzione non costituiscono motivo per levare una misura di collocamento in una casa d'educazione, alla quale l'adolescente si è sottratto con la fuga (consid. 2). Indicazione di provvedimenti ausiliari o sostitutivi che potrebbero essere presi in un simile caso (consid. 4).</w:t>
      </w:r>
    </w:p>
    <w:p>
      <w:pPr>
        <w:pStyle w:val="Heading2"/>
      </w:pPr>
      <w:r>
        <w:t>Erwägungen</w:t>
      </w:r>
    </w:p>
    <w:p>
      <w:r>
        <w:rPr>
          <w:b/>
        </w:rPr>
        <w:t>E. 2</w:t>
      </w:r>
    </w:p>
    <w:p>
      <w:r>
        <w:t>Nach Art. 91 Ziff. 1 Abs. 2 StGB hat der in eine Erziehungsanstalt eingewiesene Jugendliche so lange dort zu bleiben, als es seine Erziehung erfordert, jedoch mindestens ein Jahr. Hat er das zweiundzwanzigste Jahr zurückgelegt, so wird er entlassen. Das Obergericht verkennt diese Bestimmung, wenn es im wesentlichen wegen Vollzugsschwierigkeiten einen Grund zur Aufhebung der fraglichen Massnahme erblickt. Nicht nur gibt das Gesetz - selbst bei weitester Auslegung - für eine derartige Entscheidung keine Handhabe, sondern es fehlt ihr auch die sachliche Rechtfertigung. Aus welchen Gesichtspunkten der Gesetzgeber die Entlassung eines Zöglings nach zurückgelegtem 22. Altersjahr vorsieht, ist hier entgegen der Auffassung der Vorinstanz unwesentlich, ebenso kann die Frage offen gelassen werden, ob diese Bestimmung auch für denjenigen gelte, der wie S. sich dauernd der gegen ihn angeordneten Massnahme entzogen hat, sodass von "entlassen" im eigentlichen Sinne kaum mehr gesprochen werden kann. Der Beschwerdegegner hat die erwähnte, für eine Anstaltserziehung bestimmte Altersgrenze noch nicht erreicht. Wie schon entschieden worden ist ( BGE 76 IV 225 Erw. 2), kann aber ein Jugendlicher selbst dann noch in eine Erziehungsanstalt eingewiesen BGE 91 IV 177 S. 179 werden, wenn infolge seines Alters für den dortigen Aufenthalt nur noch weniger als ein Jahr zur Verfügung steht. Umsomehr muss auch die Rückversetzung möglich sein. Die Schwierigkeiten, die sich im Hinblick auf den Auslandsaufenthalt des S. für den Vollzug ergeben, entheben den Richter nicht von seiner Verantwortung. Abgesehen davon, dass die Annahme der Landesabwesenheit nach den Feststellungen der Jugendanwaltschaft nicht mehr sicher zutreffen soll, sind solche Schwierigkeiten kein Grund, nicht zu tun, was nach dem Gesetz getan werden muss. Anders entscheiden hiesse diejenigen bevorzugen, die es verstehen, durch Ausreissen und Flucht ins Ausland der Anstaltseinweisung zu entgehen.</w:t>
      </w:r>
    </w:p>
    <w:p>
      <w:r>
        <w:rPr>
          <w:b/>
        </w:rPr>
        <w:t>E. 3</w:t>
      </w:r>
    </w:p>
    <w:p>
      <w:r>
        <w:t>Dafür, dass die Aufhebung der Massnahme aus sachlichen Gründen sinn- und zwecklos geworden wäre, liegt nichts vor. Zwar schliesst die Vorinstanz aus den bei den Akten liegenden Briefen des Vaters an die Jugendanwaltschaft auf eine intensive Anteilnahme am Schicksal seines Sohnes, worin eine gewisse Gewähr dafür erblickt werden dürfe, S. könnte sich zukünftig auch in Freiheit halten. Indessen deutet nichts darauf hin, dass sich die angegebene Anteilnahme tatsächlich günstig auszuwirken begonnen habe. Aus den Aufzeichnungen der Jugendanwaltschaft ergibt sich gegenteils, dass S. am 14. August 1965, also kurz nach dem vorinstanzlichen Urteil, mit seiner Freundin von Paris herkommend wieder in die Schweiz einreiste, in Dirnenlokalen und auf Strichplätzen Zürichs verkehrte und sich wahrscheinlich von seiner Weggefährtin aushalten liess. Diese Hinweise sind allerdings, weil neu, nach Art. 273 Abs. 1 lit. b BStP unbeachtlich und müssten zuerst von der Vorinstanz überprüft werden. Jedenfalls aber fehlt jeder Nachweis dafür, dass die Gründe, die mit Recht zur Einweisung des S. in die Erziehungsanstalt geführt haben, dahingefallen seien und dass unter dem Einfluss des Vaters oder sonstwie irgendwelche Besserung eingetreten wäre. Das allein ist entscheidend. Bei diesem Sachverhalt durfte die angeordnete Erziehungsmassnahme keinesfalls einfach als sinn- und zwecklos fallen gelassen werden.</w:t>
      </w:r>
    </w:p>
    <w:p>
      <w:r>
        <w:rPr>
          <w:b/>
        </w:rPr>
        <w:t>E. 4</w:t>
      </w:r>
    </w:p>
    <w:p>
      <w:r>
        <w:t>Die Vorinstanz wird daher, wenn ihr nicht schon die angeführten neuen Beobachtungen der Jugendanwaltschaft als genügend erscheinen, zunächst durch weitere Erhebungen, nötigenfalls auf dem Rechtshilfeweg, zu klären haben, wie es mit dem jungen Manne steht. Ergibt es sich, dass die sittliche BGE 91 IV 177 S. 180 Gefährdung oder Verwahrlosung andauert, so wird zu entscheiden sein, was mit ihm zu geschehen habe. Dabei kämen folgende Massnahmen in Betracht: a) Die einfache Rückversetzung in die Anstalt, die nach den wiederholten Entweichungen allerdings kaum zum Ziele führen dürfte; b) die Rückversetzung mit Trennung von den übrigen Eingewiesenen gemäss Art. 91 Ziff. 3 StGB ; c) eine besondere, beispielsweise psychiatrische Behandlung nach Art. 92 StGB , wenn sich eine solche im Hinblick auf den Geisteszustand oder die sittliche Entwicklung als nötig erweisen sollte; und schliesslich als ultima ratio d) die Versetzung in eine Strafanstalt gemäss Art. 93 Abs. 2 StGB . Nach dieser Bestimmung kann der Jugendliche in eine Strafanstalt versetzt werden, wenn er sich als unverbesserlich erweist oder wenn sein Verhalten eine Gefahr für die Erziehung der übrigen Zöglinge bedeutet. Als unverbesserlich darf auch derjenige betrachtet werden, der trotz strenger Aufsicht wiederholt aus der Erziehungsanstalt entweicht (vgl. BGE 85 IV 16 ), sodass sich die Einweisung, weil geschlossene Erziehungsanstalten noch fehlen, für die Erziehungsaufgabe als aussichtslos erweist. Im übrigen bleibt die Versetzung in eine Strafanstalt Massnahme und hat nicht Strafcharakter. Sollte S. in der Schweiz nicht zu fassen sein, so könnte dessen Auslieferung aus dem gegenwärtigen Aufenthaltsland auf dem Wege der Rechtshilfe verlangt werden. Was Deutschland im besonderen anbelangt, wohin sich S. jeweils verzieht, so würde dort - wie eine Rückfrage bei der Sektion für Auslieferung und internationale Rechtshilfe der Eidgenössischen Polizeiabteilung ergab - einem dahingehenden Gesuch Folge gegeben. Dispositiv Demnach erkennt der Kassationshof: Die Nichtigkeitsbeschwerde wird gutgeheissen, der angefochtene Entscheid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