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144</w:t>
      </w:r>
    </w:p>
    <w:p>
      <w:r>
        <w:t>Bundesgericht (BGE), 1965-01-01, DE</w:t>
      </w:r>
    </w:p>
    <w:p>
      <w:r>
        <w:rPr>
          <w:b/>
        </w:rPr>
        <w:t xml:space="preserve">Quelle: </w:t>
      </w:r>
      <w:r>
        <w:t>https://mcp.opencaselaw.ch/entscheid/bge_BGE_91_IV_144</w:t>
      </w:r>
    </w:p>
    <w:p>
      <w:r>
        <w:t>FR: ATF 91 IV 144</w:t>
      </w:r>
    </w:p>
    <w:p>
      <w:r>
        <w:t>IT: DTF 91 IV 144</w:t>
      </w:r>
    </w:p>
    <w:p>
      <w:pPr>
        <w:pStyle w:val="Heading2"/>
      </w:pPr>
      <w:r>
        <w:t>Regeste</w:t>
      </w:r>
    </w:p>
    <w:p>
      <w:r>
        <w:t>Regeste 1. Art. 72 Ziff. 2 Abs. 2 StGB. Die Verfolgungsverjährung hört mit der Ausfällung eines vollstreckbaren kantonalen Urteils auf (Erw. 1). 2. Art. 36 SVG, Art. 1 Abs. 8 VRV. Vortrittsrecht an der Verzweigung von Strassen, von denen eine mit einem unbeschränkten oder beschränkten Fahrverbot belegt ist (Erw. 2 und 3).</w:t>
      </w:r>
    </w:p>
    <w:p>
      <w:r>
        <w:t>Regeste 1. Art. 72 ch. 2 al. 2 CP. La prescription de l'action pénale prend fin au moment du prononcé d'un jugement cantonal exécutoire (consid. 1). 2. Art. 36 LCR, art. 1 al. 8 OCR. Droit de priorité à l'intersection de routes, sur l'une desquelles la circulation est totalement ou partiellement interdite (consid. 2 et 3).</w:t>
      </w:r>
    </w:p>
    <w:p>
      <w:r>
        <w:t>Regesto 1. Art. 72 num. 2 cpv. 2 CP. La prescrizione dell'azione penale cessa al momento in cui viene pronunciata una sentenza cantonale esecutiva (consid. 1). 2. Art. 36 LCStr, art. 1 cpv. 8 OCStr. Diritto di precedenza all'intersezione di strade, sull'una delle quali la circolazione è vietata totalmente o parzialmente (consid. 2 e 3).</w:t>
      </w:r>
    </w:p>
    <w:p>
      <w:pPr>
        <w:pStyle w:val="Heading2"/>
      </w:pPr>
      <w:r>
        <w:t>Erwägungen</w:t>
      </w:r>
    </w:p>
    <w:p>
      <w:r>
        <w:rPr>
          <w:b/>
        </w:rPr>
        <w:t>E. 1</w:t>
      </w:r>
    </w:p>
    <w:p>
      <w:r>
        <w:t>Das Urteil des Einzelrichters in Strafsachen, das mit einem ordentlichen kantonalen Rechtsmittel nicht angefochten werden konnte, ist mit der Ausfällung am 1. Juli 1965 vollstreckbar geworden. An diesem Tage hat die Verfolgungsverjährung aufgehört und die Vollstreckungsverjährung begonnen ( BGE 72 IV 106 , 164; BGE 73 IV 14 und ständige Rechtsprechung). Die zweijährige absolute Verjährungsfrist ( Art. 90 Ziff. 1 SVG . Art. 101, 109, 72 Ziff. 2 Abs. 2 StGB), die am 24. Juli 1963 begann, ist daher noch nicht abgelaufen.</w:t>
      </w:r>
    </w:p>
    <w:p>
      <w:r>
        <w:rPr>
          <w:b/>
        </w:rPr>
        <w:t>E. 2</w:t>
      </w:r>
    </w:p>
    <w:p>
      <w:r>
        <w:t>Das Signal "Allgemeines Fahrverbot" (Nr. 201) verbietet den Verkehr für alle Fahrzeuge (Art. 16 Abs. 1 der Verordnung über die Strassensignalisation vom 31. Mai 1963). Die Verkehrsfläche, auf der das allgemeine Fahrverbot uneingeschränkt gilt, darf somit von Motorfahrzeugen und motorlosen Fahrzeugen nicht benützt werden. Sie fällt zwar, wenn sie dem Fussgängerverkehr dient, unter den Begriff der Strasse ( Art. 1 Abs. 1 VRV ), stellt aber, da sie dem Fahrverkehr nicht geöffnet ist, keine Fahrbahn dar ( Art. 1 Abs. 4 VRV ). Das bedeutet, dass die mit einem solchen Fahrverbot belegte Verkehrsfläche an der Stelle, wo sie mit einer dem Fahrverkehr geöffneten Strasse zusammentrifft, keine Verzweigung (Kreuzung, Gabelung, Einmündung) bildet ( Art. 1 Abs. 8 VRV ). Dem Fahrzeugführer, der die Fahrbahn einer öffentlichen Strasse benützt, steht daher gegenüber einem andern, der aus einer Strasse mit unbeschränktem Fahrverbot herausfährt, das absolute Vortrittsrecht zu. Es verhält sich in diesem Falle nicht anders, als wenn jemand an einem Ort, wo keine Strasse besteht, oder aus einem Privatweg in eine öffentliche Fahrbahn BGE 91 IV 144 S. 146 einbiegt, um sich in den allgemeinen Verkehr einzugliedern (vgl. BGE 84 IV 109 ).</w:t>
      </w:r>
    </w:p>
    <w:p>
      <w:r>
        <w:rPr>
          <w:b/>
        </w:rPr>
        <w:t>E. 3</w:t>
      </w:r>
    </w:p>
    <w:p>
      <w:r>
        <w:t>Nach Art. 15 der Signalisationsverordnung ist es zulässig, vom allgemeinen Fahrverbot Ausnahmen zu machen. So kann das Befahren der mit einem Fahrverbot belegten Strasse bestimmten Fahrzeugführern oder Fahrzeugkategorien oder für bestimmte Zwecke (z.B. Zubringerdienst) allgemein gestattet werden. In solchen Fällen wird die Benützung der Strasse für den allgemeinen Fahrverkehr nicht aufgehoben, sondern bloss eingeschränkt. Die Strasse dient trotz dem Fahrverbot dem Fahrverkehr und ist auf der für diesen bestimmten Fläche Fahrbahn im Sinne des Art. 1 Abs. 4 VRV . Was sie von andern Strassen unterscheidet, ist einzig ihre beschränkte Befahrbarkeit. Dieser Umstand könnte aber auf die Anwendung der Verkehrsregeln über das Vortrittsrecht nur Einfluss haben, wenn die beschränkt befahrbare Strasse für den allgemeinen Fahrverkehr eine derart untergeordnete Bedeutung hätte, dass sie im Vergleich mit der Strasse, mit der sie zusammentrifft, einer blossen Ausfahrt im Sinne des Art. 1 Abs. 8 VRV gleichzustellen wäre (vgl. BGE 91 IV 41 ). Diese Voraussetzung trifft im vorliegenden Falle nicht zu. Der vom Fahrverbot betroffene Teil der Schweighofstrasse diente nicht nur als Zufahrt zu vereinzelten angrenzenden Grundstücken, sondern war in dem beidseits der Strasse von Wohnhäusern überbauten Gebiet schon als Quartierstrasse von einiger Bedeutung. Darüber hinaus stand sie dem durchgehenden Verkehr offen und konnte als Durchgangsstrasse ausser von den Anwohnern auch von den in der oberen Ütlibergstrasse parkierenden Fahrzeugführern, die eine entsprechende Erlaubnis hatten, sowie ohne besondere Bewilligung von allen Fahrzeugen der städtischen Verkehrsbetriebe und der Taxiunternehmen benützt werden. An der Kreuzung Schweighofstrasse/Bachtobelstrasse galt daher ohne gegenteilige Anordnung das gesetzliche Vortrittsrecht, wonach dem von rechts kommenden Fahrzeug der Vortritt zusteht ( Art. 36 Abs. 2 SVG ) und der nach links Abbiegende einem entgegenkommenden Fahrzeug den Vortritt zu lassen hat ( Art. 36 Abs. 3 SVG ). Der Beschwerdeführer, der die deutlich signalisierten Einschränkungen des Fahrverbots gelesen hat und erkennen konnte, dass einem grossen Teil von Fahrzeugen die Durchfahrt durch die obere Schweighofstrasse gestattet war, musste BGE 91 IV 144 S. 147 mit solchen, die ihm aus dieser Strasse entgegenkommen konnten, rechnen. In Wirklichkeit hat er auch nicht angenommen, dass aus dem teilweise gesperrten Strassenstück keine Fahrzeuge in die Kreuzung einfahren werden oder dass er diesen gegenüber vortrittsberechtigt sei, sondern der Zusammenstoss mit dem Motorradfahrer ist darauf zurückzuführen, dass der Beschwerdeführer aus Unaufmerksamkeit diesen zu spät wahrgenommen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