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141</w:t>
      </w:r>
    </w:p>
    <w:p>
      <w:r>
        <w:t>Bundesgericht (BGE), 1965-01-01, DE</w:t>
      </w:r>
    </w:p>
    <w:p>
      <w:r>
        <w:rPr>
          <w:b/>
        </w:rPr>
        <w:t xml:space="preserve">Quelle: </w:t>
      </w:r>
      <w:r>
        <w:t>https://mcp.opencaselaw.ch/entscheid/bge_BGE_91_IV_141</w:t>
      </w:r>
    </w:p>
    <w:p>
      <w:r>
        <w:t>FR: ATF 91 IV 141</w:t>
      </w:r>
    </w:p>
    <w:p>
      <w:r>
        <w:t>IT: DTF 91 IV 141</w:t>
      </w:r>
    </w:p>
    <w:p>
      <w:pPr>
        <w:pStyle w:val="Heading2"/>
      </w:pPr>
      <w:r>
        <w:t>Regeste</w:t>
      </w:r>
    </w:p>
    <w:p>
      <w:r>
        <w:t>Regeste Art. 32 Abs. 1 SVG. Geschwindigkeit. 1. Befugnis des Kassationshofes, die Angemessenheit einer Geschwindigkeit zu überprüfen; Grenzen dieser Prüfung (Erw. 1). 2. Bei städtischen Verkehrszentren, die an alle Fahrer besondere Anforderungen stellen, darf die Frage, welche Geschwindigkeit den Umständen angepasst sei, nicht nur vom Verhältnis zwischen einzelnen Fahrern (z.B. vom Vortritt) abhängig gemacht werden (Erw. 2).</w:t>
      </w:r>
    </w:p>
    <w:p>
      <w:r>
        <w:t>Regeste Art. 32 al. 1 LCR. Vitesse. 1. Adaptation de la vitesse aux circonstances: limites du pouvoir d'examen de la Cour de cassation (consid. 1). 2. Il ne faut pas s'en tenir au seul rapport entre certains conducteurs déterminés (droit de priorité, par exemple) pour décider si la vitesse est adaptée aux circonstances aux centres où, dans les villes, la circulation converge et exige de tous les conducteurs des précautions spéciales (consid. 2).</w:t>
      </w:r>
    </w:p>
    <w:p>
      <w:r>
        <w:t>Regesto Art. 32 cpv. 1 LCStr. Velocità. 1. Potere della Corte di cassazione di esaminare l'adeguamento della velocità alle circonstanze; limiti di tale esame (consid. 1). 2. Nei centri cittadini in cui converge il traffico, e dove è richiesta da tutti i conducenti una speciale precauzione, per decidere quale velocità sia adeguata alle circostanze, non bisogna attenersi soltanto al rapporto tra singoli conducenti (ad es. al diritto di precedenza) (consid. 2).</w:t>
      </w:r>
    </w:p>
    <w:p>
      <w:pPr>
        <w:pStyle w:val="Heading2"/>
      </w:pPr>
      <w:r>
        <w:t>Erwägungen</w:t>
      </w:r>
    </w:p>
    <w:p>
      <w:r>
        <w:rPr>
          <w:b/>
        </w:rPr>
        <w:t>E. 1</w:t>
      </w:r>
    </w:p>
    <w:p>
      <w:r>
        <w:t>Nach Art. 32 Abs. 1 SVG ist die Geschwindigkeit stets den Umständen, insbesondere den Strassen- und Verkehrsverhältnissen anzupassen. Welche Geschwindigkeit jeweils als angemessen zu gelten hat, ist zwar eine Rechtsfrage, die das Bundesgericht frei überprüfen kann. Es ist aber zu bedenken, dass die Beantwortung der Frage weitgehend von der Würdigung der örtlichen Verhältnisse abhängt, die der kantonale Richter im allgemeinen aus eigener Wahrnehmung kennt. Auch muss diesem ein gewisses Ermessen eingeräumt werden, weil die Angemessenheit einer Fahrweise sich naturgemäss nicht genau feststellen, sondern bloss abschätzen lässt. Der Kassationshof weicht daher von der Ansicht der kantonalen Instanzen über die Zulässigkeit oder Unzulässigkeit einer Geschwindigkeit nur ab, wenn es sich aufdrängt ( BGE 89 IV 102 Erw. 2).</w:t>
      </w:r>
    </w:p>
    <w:p>
      <w:r>
        <w:rPr>
          <w:b/>
        </w:rPr>
        <w:t>E. 2</w:t>
      </w:r>
    </w:p>
    <w:p>
      <w:r>
        <w:t>Das ist hier nicht der Fall. Der Beschwerdeführer bemerkte nach seinen eigenen Angaben gleich nach der Wipkingerbrücke, dass sich von links her ein Wagen seiner Fahrbahn näherte. Er glaubte zwar, die Lenkerin, Margaret Schmid, habe ihn gesehen und werde ihm den Vortritt lassen. Sicher war er dessen jedoch nicht, weil er, wie er selber sagt, der durch eine BGE 91 IV 141 S. 143 Begleitperson verdeckten Lenkerin nicht ins Gesicht habe sehen können und sie zudem immer weiter gefahren sei. Ob diese Unsicherheit den Beschwerdeführer hätte veranlassen sollen, langsamer zu fahren, kann dahingestellt bleiben. Die Vorinstanz macht ihm deswegen keinen Vorwurf, sondern übergeht die Frage, weil sie der Auffassung ist, dass er seine Geschwindigkeit schon im Hinblick auf die ungünstigen Strassen- und Verkehrsverhältnisse am Escher Wyss-Platz hätte mässigen sollen. Diese Betrachtungsweise ist nicht abwegig. Gerade in Fällen wie dem vorliegenden muss der Richter, dem umfassenden Charakter des Art. 32 Abs. 1 SVG entsprechend, die gesamten Umstände im Auge behalten, darf die Frage nach der angemessenen Geschwindigkeit folglich nicht nur vom Verhältnis zwischen einzelnen Fahrern (z.B. vom Vortritt) abhängig machen. Das ist denn auch der Sinn des angefochtenen Urteils. Es kann nur dahin verstanden werden, dass der Escher Wyss-Platz an alle Fahrer besondere Anforderungen stelle und dass deshalb jeder mit Rücksicht auf die erhöhten Schwierigkeiten der andern vorsichtig fahren müsse, auch der Vortrittsberechtigte. Die Schwierigkeiten ergeben sich vor allem daraus, dass dort fünf grosse Verkehrsadern und zudem mehrere Linien der städtischen Verkehrsbetriebe zusammentreffen. Die Gefahren, die sich aus einer solchen Häufung von Verkehrswegen auf gleicher Ebene ergeben, waren zur Zeit der Tat besonders gross, da nach den Zeugenaussagen sehr starker Verkehr herrschte. Angesichts dieser Umstände durfte die Vorinstanz mit guten Gründen sagen, der Beschwerdeführer habe Art. 32 Abs. 1 SVG schon dadurch verletzt, dass er mit einer Geschwindigkeit von über 40 km/Std. auf den Platz gefahren sei. Dass er sich in einer lockeren Kolonne befand, lässt sein Verschulden wohl als milder erscheinen, enthob ihn jedoch sowenig wie alle andern der Pflicht, seine Fahrweise den besonders schwierigen Verhältnissen auf dem Escher Wyss-Platz anzupassen.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