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113</w:t>
      </w:r>
    </w:p>
    <w:p>
      <w:r>
        <w:t>Bundesgericht (BGE), 1965-01-01, DE</w:t>
      </w:r>
    </w:p>
    <w:p>
      <w:r>
        <w:rPr>
          <w:b/>
        </w:rPr>
        <w:t xml:space="preserve">Quelle: </w:t>
      </w:r>
      <w:r>
        <w:t>https://mcp.opencaselaw.ch/entscheid/bge_BGE_91_IV_113</w:t>
      </w:r>
    </w:p>
    <w:p>
      <w:r>
        <w:t>FR: ATF 91 IV 113</w:t>
      </w:r>
    </w:p>
    <w:p>
      <w:r>
        <w:t>IT: DTF 91 IV 113</w:t>
      </w:r>
    </w:p>
    <w:p>
      <w:pPr>
        <w:pStyle w:val="Heading2"/>
      </w:pPr>
      <w:r>
        <w:t>Regeste</w:t>
      </w:r>
    </w:p>
    <w:p>
      <w:r>
        <w:t>Regeste Art. 41 Ziff. 1 Abs. 2 StGB, Art. 35 Abs. 2 und 3 SVG. Das gewissenlose vorschriftswidrige Überholen kann allein zur Verweigerung des bedingten Strafvollzuges führen.</w:t>
      </w:r>
    </w:p>
    <w:p>
      <w:r>
        <w:t>Regeste Art. 41 ch. 1 al. 2 CP, art. 35 al. 2 et 3 LCR. Le conducteur qui, sans scrupule, viole les règles du dépassement, peut, de ce seul fait, se voir refuser le sursis à l'exécution de la peine.</w:t>
      </w:r>
    </w:p>
    <w:p>
      <w:r>
        <w:t>Regesto Art. 41 num. 1 cpv. 2 CP, art. 35 cpv. 2 e 3 LCStr. Il sorpasso operato in modo incosciente e contro le norme della circolazione può da sè solo condurre al rifiuto della sospensione condizionale della pena.</w:t>
      </w:r>
    </w:p>
    <w:p>
      <w:pPr>
        <w:pStyle w:val="Heading2"/>
      </w:pPr>
      <w:r>
        <w:t>Erwägungen</w:t>
      </w:r>
    </w:p>
    <w:p>
      <w:r>
        <w:rPr>
          <w:b/>
        </w:rPr>
        <w:t>E. 1</w:t>
      </w:r>
    </w:p>
    <w:p>
      <w:r>
        <w:t>Die Nichtigkeitsbeschwerde ist gemäss Art. 269 Abs. 1 BStP nur wegen Verletzung von Bundesrecht zulässig, was bei Nichtgewährung des bedingten Strafvollzuges bedeutet, dass die BGE 91 IV 113 S. 115 damit verbundene ungünstige Voraussage über das künftige Verhalten des Verurteilten bei Zubilligung einer blossen Warnungsstrafe einzig wegen Überschreitung des dem Richter gemäss Art. 41 Ziff. 1 StGB zustehenden Ermessens angefochten werden kann.</w:t>
      </w:r>
    </w:p>
    <w:p>
      <w:r>
        <w:rPr>
          <w:b/>
        </w:rPr>
        <w:t>E. 3</w:t>
      </w:r>
    </w:p>
    <w:p>
      <w:r>
        <w:t>... Die Verweigerung der genannten Rechtswohltat ist auch auf Grund von Überlegungen zulässig, die sich auf die Umstände der Tat stützen, soweit dabei nicht gegen den Grundgedanken dieser Massnahme verstossen wird (vgl. BGE 73 IV 78 und ständige Rechtsprechung). Ein solcher dem Sinn und Geist des Gesetzes nicht widersprechender Grund ist in Fällen fahrlässiger Tötung durch Missachtung von Verkehrsvorschriften in einer rücksichtslosen, von besonderer Hemmungslosigkeit zeugenden Fahrweise zu sehen, die, selbst wenn sie früher unerkannt geblieben ist, das Vertrauen nicht gibt, der Verurteilte werde auch ohne den Vollzug der Strafe künftig ähnlichen Versuchungen widerstehen, wie sie an ihn als Motorfahrzeugführer täglich herantreten können (BGE 73 IV Bl; BGE 74 IV 137 f., 196; BGE 76 IV 72 ; BGE 77 IV 68 Erw. 2; BGE 80 IV 13 ; BGE 88 IV 7 ; BGE 90 IV 261 und weitere Urteile). Diese Rechtsprechung bezieht sich zur Hauptsache auf die Angetrunkenheit am Steuer. Das Fahren in angetrunkenem Zustande ist aber nur ein besonderer Fall gewissenloser Gefährdung des Verkehrs; diese kann, wie aus den angeführten Entscheidungen, so BGE 73 IV 81 und BGE 76 IV 72 , ersichtlich ist, auch in der fahrlässigen Missachtung wichtiger Verkehrsregeln liegen. Der Beschwerdeführer hat den Tod Lagiers durch vorschriftswidriges Überholen verschuldet. Eine solche Übertretung ist an sich nicht notwendig ein Zeichen besonderer Gewissenlosigkeit. Der Fahrzeugführer kann sich beispielsweise in der Einschätzung der Geschwindigkeit eines entgegenkommenden Fahrzeuges täuschen, ohne dass ihn deswegen schon der genannte Vorwurf trifft. So war es aber im vorliegenden Falle nicht. Der Beschwerdeführer hat die beiden vor ihm fahrenden Wagen zu überholen versucht, obwohl ihm der Lieferwagen infolge einer leichten Strassenbiegung die Sicht verdeckte, die für ein gefahrloses Vorfahren hätte frei sein müssen. Er liess sich von seinem Manöver auch nicht durch den Umstand abhalten, dass er sich auf einer verkehrsreichen Strasse bewegte und daher mit der nahen Möglichkeit zu rechnen hatte, dass ihm auf der linken Strassenhälfte jederzeit Fahrzeuge begegnen könnten, bevor er ohne Gefährdung BGE 91 IV 113 S. 116 anderer Verkehrsteilnehmer wieder in die rechte Strassenseite eingebogen sein würde. Dazu kommt, dass sich die Wagenreihe, aus der er ausbrach, bereits mit der namhaften Geschwindigkeit von 80 km in der Stunde bewegte, sowie dass der Abstand zwischen den beiden vordern Wagen, auf den er - für ein allenfalls notwendig werdendes Einbiegen nach Überholen des ersten Wagens - angewiesen war, nur rund 8 m, also erheblich weniger als der bei jener Geschwindigkeit benötigte Reaktionsweg betrug. Das sind Umstände, welche die mit dem Vorfahren an sich schon verbundenen Gefahren noch beträchtlich erhöhten. Der Beschwerdeführer hat dadurch die Sicherheit des Verkehrs, Leib und Leben anderer um eines schnöden kurzen Zeitgewinnes willen, aus Ungeduld oder sogar aus barer Rennsucht freventlich aufs Spiel gesetzt. Ein solches Verhalten ist, wie das Obergericht mit Recht erklärt, offensichtlich nicht mehr nur mit einem augenblicklichen Versagen, sondern mit einer Charakterschwäche des Täters zu erklären. Diese Annahme lässt sich um so mehr vertreten, als es dem Beschwerdeführer wie heute wohl jedem Motorfahrzugführer bekannt sein musste, dass das vorschriftswidrige Überholen sozusagen täglich zu schweren Unfällen führt und dass deshalb in der Öffentlichkeit von den massgeblichen Stellen aus, namentlich durch die Presse, immer wieder eindringlich auf diese Gefahren hingewiesen wird. Wie wenig der Beschwerdeführer sich um diese Warnungen kümmerte, geht daraus hervor, dass er gemäss einer weiteren Feststellung der Vorinstanz schon etwa drei Kilometer vor der Unfallstelle trotz Gegenverkehr ein verwegenes Überholungsmanöver ausgeführt hatte. Wer sich über die allgemein bekannten, so erheblichen Gefahren und die ständigen Mahnungen derart hinwegsetzt, verdient auch nicht das Vertrauen, dass er sich schon durch eine blosse Warnungsstrafe nachhaltig eines Bessern besinne und sich wirklich bessere. Die Vorinstanz überschritt das ihr zustehende Ermessen deshalb keineswegs, wenn sie dem Beschwerdeführer dieses Vertrauen nicht entgegenbrachte und von der Zubilligung des bedingten Strafvollzuges absah. Ob zudem die früheren Anlässe, an denen sich die Polizei mit ihm zu befassen hatte, und ob auch sein Verhalten nach der Tat gegen die erforderliche Erwartung sprechen, kann bei dieser Sachlage offen bleiben. Die in der zu beurteilenden Tat allein bekundete Hemmungs- und Bedenkenlosigkeit genügt ( BGE 79 IV 68 ; BGE 88 IV 7 ; BGE 90 IV 261 ). BGE 91 IV 113 S. 117 Die Überlegungen, die von der Rechtsprechung hinsichtlich der Angetrunkenheit am Steuer angestellt wurden, treffen in gleichem oder noch vermehrtem Masse auf das gewissenlose Überholen zu. Bei der Häufigkeit der durch solche Manöver verschuldeten Verkehrsunfälle mit ihren vielfach unheilvollen Folgen ist hier nicht minder als dort zusätzlich auch aus Gründen der Generalprävention eine entsprechende Strenge am Platze.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